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1FDB" w14:textId="7F2942BD" w:rsidR="00165C6A" w:rsidRPr="00D75C5B" w:rsidRDefault="00165C6A" w:rsidP="00282C7A">
      <w:r w:rsidRPr="00D75C5B">
        <w:t xml:space="preserve">The following report </w:t>
      </w:r>
      <w:r w:rsidR="009665E6" w:rsidRPr="00D75C5B">
        <w:t xml:space="preserve">provides a quarterly update </w:t>
      </w:r>
      <w:proofErr w:type="gramStart"/>
      <w:r w:rsidR="009665E6" w:rsidRPr="00D75C5B">
        <w:t>to</w:t>
      </w:r>
      <w:proofErr w:type="gramEnd"/>
      <w:r w:rsidR="009665E6" w:rsidRPr="00D75C5B">
        <w:t xml:space="preserve"> the goals identified in the QAPIP plan</w:t>
      </w:r>
      <w:r w:rsidR="00BE477C" w:rsidRPr="00D75C5B">
        <w:t xml:space="preserve"> as well as an annual review.</w:t>
      </w:r>
      <w:r w:rsidR="009665E6" w:rsidRPr="00D75C5B">
        <w:t xml:space="preserve"> </w:t>
      </w:r>
    </w:p>
    <w:p w14:paraId="5CC7B16C" w14:textId="77777777" w:rsidR="00B64BAB" w:rsidRPr="00D75C5B" w:rsidRDefault="00B64BAB" w:rsidP="00B64BAB">
      <w:pPr>
        <w:jc w:val="center"/>
        <w:rPr>
          <w:b/>
          <w:bCs/>
          <w:color w:val="000000"/>
          <w:sz w:val="28"/>
          <w:szCs w:val="28"/>
          <w:u w:val="single"/>
        </w:rPr>
      </w:pPr>
      <w:r w:rsidRPr="00D75C5B">
        <w:rPr>
          <w:b/>
          <w:bCs/>
          <w:color w:val="000000"/>
          <w:sz w:val="28"/>
          <w:szCs w:val="28"/>
          <w:u w:val="single"/>
        </w:rPr>
        <w:t>PROVIDER QUALIFICATION AND SELECTION</w:t>
      </w:r>
    </w:p>
    <w:p w14:paraId="73EE771D" w14:textId="58BAC124" w:rsidR="00B64BAB" w:rsidRPr="00D75C5B" w:rsidRDefault="00B64BAB" w:rsidP="00B64BAB">
      <w:r w:rsidRPr="00D75C5B">
        <w:rPr>
          <w:b/>
          <w:bCs/>
        </w:rPr>
        <w:t xml:space="preserve">24 Hours of Children’s Specific Training: </w:t>
      </w:r>
      <w:r w:rsidRPr="00D75C5B">
        <w:t xml:space="preserve"> The Staff Development department has been working on utilizing reports within Relias to </w:t>
      </w:r>
      <w:proofErr w:type="gramStart"/>
      <w:r w:rsidRPr="00D75C5B">
        <w:t xml:space="preserve">provide </w:t>
      </w:r>
      <w:r w:rsidR="00310A2A" w:rsidRPr="00D75C5B">
        <w:t>to</w:t>
      </w:r>
      <w:proofErr w:type="gramEnd"/>
      <w:r w:rsidR="00310A2A" w:rsidRPr="00D75C5B">
        <w:t xml:space="preserve"> </w:t>
      </w:r>
      <w:r w:rsidRPr="00D75C5B">
        <w:t>supervisors on a regular schedule to determine how staff are progressing with this requirement.  Supervisors have received training on how to access this information independently within Relias.</w:t>
      </w:r>
      <w:r w:rsidR="00D760D0" w:rsidRPr="00D75C5B">
        <w:t xml:space="preserve"> Additionally, the Staff Development department is going to create a curriculum that each children’s staff can complete to ensure 24 hours of children’s specific training is completed.</w:t>
      </w:r>
    </w:p>
    <w:p w14:paraId="1E5C8F8B" w14:textId="3644534F" w:rsidR="00B64BAB" w:rsidRPr="00D75C5B" w:rsidRDefault="00B64BAB" w:rsidP="00B64BAB">
      <w:r w:rsidRPr="00D75C5B">
        <w:rPr>
          <w:b/>
          <w:bCs/>
        </w:rPr>
        <w:t xml:space="preserve">Plan of Service Training Forms: </w:t>
      </w:r>
      <w:r w:rsidRPr="00D75C5B">
        <w:t>BABH staff are reviewing the use of this form during scheduled site reviews and</w:t>
      </w:r>
      <w:r w:rsidR="00D760D0" w:rsidRPr="00D75C5B">
        <w:t xml:space="preserve"> </w:t>
      </w:r>
      <w:r w:rsidR="00411579" w:rsidRPr="00D75C5B">
        <w:t xml:space="preserve">during the quarterly Performance Improvement review process.  </w:t>
      </w:r>
      <w:r w:rsidR="00D760D0" w:rsidRPr="00D75C5B">
        <w:t xml:space="preserve">After the recent Mid-State Health Network (MSHN) audit in August 2023, BABH staff will soon begin doing monthly reviews of the plan of service training form.  </w:t>
      </w:r>
    </w:p>
    <w:p w14:paraId="43C9E187" w14:textId="7CF5EB73" w:rsidR="00B64BAB" w:rsidRPr="00D75C5B" w:rsidRDefault="00B64BAB" w:rsidP="00B64BAB">
      <w:pPr>
        <w:jc w:val="center"/>
        <w:rPr>
          <w:b/>
          <w:bCs/>
          <w:sz w:val="28"/>
          <w:szCs w:val="28"/>
          <w:u w:val="single"/>
        </w:rPr>
      </w:pPr>
      <w:r w:rsidRPr="00D75C5B">
        <w:rPr>
          <w:b/>
          <w:bCs/>
          <w:sz w:val="28"/>
          <w:szCs w:val="28"/>
          <w:u w:val="single"/>
        </w:rPr>
        <w:t>HARM IDENTIFICATION AND REDUCTION</w:t>
      </w:r>
    </w:p>
    <w:p w14:paraId="232E82D6" w14:textId="6BCAF324" w:rsidR="00625757" w:rsidRPr="00D75C5B" w:rsidRDefault="00625757" w:rsidP="00B64BAB">
      <w:pPr>
        <w:jc w:val="center"/>
        <w:rPr>
          <w:b/>
          <w:bCs/>
          <w:sz w:val="28"/>
          <w:szCs w:val="28"/>
          <w:u w:val="single"/>
        </w:rPr>
      </w:pPr>
      <w:r w:rsidRPr="00D75C5B">
        <w:rPr>
          <w:noProof/>
        </w:rPr>
        <w:drawing>
          <wp:inline distT="0" distB="0" distL="0" distR="0" wp14:anchorId="377F805B" wp14:editId="7FC32881">
            <wp:extent cx="6858000" cy="2815590"/>
            <wp:effectExtent l="0" t="0" r="0" b="3810"/>
            <wp:docPr id="1066445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815590"/>
                    </a:xfrm>
                    <a:prstGeom prst="rect">
                      <a:avLst/>
                    </a:prstGeom>
                    <a:noFill/>
                    <a:ln>
                      <a:noFill/>
                    </a:ln>
                  </pic:spPr>
                </pic:pic>
              </a:graphicData>
            </a:graphic>
          </wp:inline>
        </w:drawing>
      </w:r>
    </w:p>
    <w:p w14:paraId="31AA5011" w14:textId="77777777" w:rsidR="00676BB6" w:rsidRPr="00D75C5B" w:rsidRDefault="00676BB6" w:rsidP="00676BB6">
      <w:pPr>
        <w:spacing w:after="0" w:line="240" w:lineRule="auto"/>
        <w:rPr>
          <w:b/>
          <w:bCs/>
        </w:rPr>
      </w:pPr>
    </w:p>
    <w:p w14:paraId="6412D795" w14:textId="2FD979B9" w:rsidR="005071C0" w:rsidRPr="00D75C5B" w:rsidRDefault="00B64BAB" w:rsidP="0086015C">
      <w:r w:rsidRPr="00D75C5B">
        <w:rPr>
          <w:b/>
          <w:bCs/>
        </w:rPr>
        <w:t xml:space="preserve">Count of Reportable and Non-Reportable Adverse Events Per 1,000 Persons Served by BABH: </w:t>
      </w:r>
      <w:r w:rsidR="00C317CC" w:rsidRPr="00D75C5B">
        <w:t>There were</w:t>
      </w:r>
      <w:r w:rsidR="00FB44AC" w:rsidRPr="00D75C5B">
        <w:t xml:space="preserve"> </w:t>
      </w:r>
      <w:r w:rsidR="006D5180" w:rsidRPr="00D75C5B">
        <w:t>seven</w:t>
      </w:r>
      <w:r w:rsidR="00C317CC" w:rsidRPr="00D75C5B">
        <w:t xml:space="preserve"> types of adverse events reported during FY23Q</w:t>
      </w:r>
      <w:r w:rsidR="00BE477C" w:rsidRPr="00D75C5B">
        <w:t>4</w:t>
      </w:r>
      <w:r w:rsidR="00C317CC" w:rsidRPr="00D75C5B">
        <w:t>; deaths</w:t>
      </w:r>
      <w:r w:rsidR="00266651" w:rsidRPr="00D75C5B">
        <w:t xml:space="preserve"> (reportable and not reportable)</w:t>
      </w:r>
      <w:r w:rsidR="00C317CC" w:rsidRPr="00D75C5B">
        <w:t xml:space="preserve">, </w:t>
      </w:r>
      <w:r w:rsidR="006D5180" w:rsidRPr="00D75C5B">
        <w:t xml:space="preserve">harm to another with emergency medical treatment </w:t>
      </w:r>
      <w:r w:rsidR="00266651" w:rsidRPr="00D75C5B">
        <w:t>(reportable)</w:t>
      </w:r>
      <w:r w:rsidR="006D5180" w:rsidRPr="00D75C5B">
        <w:t xml:space="preserve">, emergency medical treatment due to </w:t>
      </w:r>
      <w:proofErr w:type="spellStart"/>
      <w:r w:rsidR="006D5180" w:rsidRPr="00D75C5B">
        <w:t>self harm</w:t>
      </w:r>
      <w:proofErr w:type="spellEnd"/>
      <w:r w:rsidR="006D5180" w:rsidRPr="00D75C5B">
        <w:t xml:space="preserve"> (reportable)</w:t>
      </w:r>
      <w:r w:rsidR="00C317CC" w:rsidRPr="00D75C5B">
        <w:t xml:space="preserve"> and emergency medical treatment due to injury</w:t>
      </w:r>
      <w:r w:rsidR="00266651" w:rsidRPr="00D75C5B">
        <w:t xml:space="preserve"> </w:t>
      </w:r>
      <w:r w:rsidR="00FB44AC" w:rsidRPr="00D75C5B">
        <w:t xml:space="preserve">or med error </w:t>
      </w:r>
      <w:r w:rsidR="00266651" w:rsidRPr="00D75C5B">
        <w:t>(reportable</w:t>
      </w:r>
      <w:r w:rsidR="00F15C91" w:rsidRPr="00D75C5B">
        <w:t xml:space="preserve"> and not reportable</w:t>
      </w:r>
      <w:r w:rsidR="00266651" w:rsidRPr="00D75C5B">
        <w:t>)</w:t>
      </w:r>
      <w:r w:rsidR="004079D1" w:rsidRPr="00D75C5B">
        <w:t xml:space="preserve"> and hospitalization (reportable)</w:t>
      </w:r>
      <w:r w:rsidR="00C317CC" w:rsidRPr="00D75C5B">
        <w:t xml:space="preserve">. </w:t>
      </w:r>
      <w:r w:rsidR="0086015C" w:rsidRPr="00D75C5B">
        <w:t>There</w:t>
      </w:r>
      <w:r w:rsidR="008874D2" w:rsidRPr="00D75C5B">
        <w:t xml:space="preserve"> were </w:t>
      </w:r>
      <w:r w:rsidR="004079D1" w:rsidRPr="00D75C5B">
        <w:t>12</w:t>
      </w:r>
      <w:r w:rsidR="008874D2" w:rsidRPr="00D75C5B">
        <w:t xml:space="preserve"> deaths </w:t>
      </w:r>
      <w:proofErr w:type="gramStart"/>
      <w:r w:rsidR="008874D2" w:rsidRPr="00D75C5B">
        <w:t>for</w:t>
      </w:r>
      <w:proofErr w:type="gramEnd"/>
      <w:r w:rsidR="008874D2" w:rsidRPr="00D75C5B">
        <w:t xml:space="preserve"> FY23Q</w:t>
      </w:r>
      <w:r w:rsidR="004079D1" w:rsidRPr="00D75C5B">
        <w:t>4</w:t>
      </w:r>
      <w:r w:rsidR="008874D2" w:rsidRPr="00D75C5B">
        <w:t xml:space="preserve"> which </w:t>
      </w:r>
      <w:r w:rsidR="0086015C" w:rsidRPr="00D75C5B">
        <w:t>was</w:t>
      </w:r>
      <w:r w:rsidR="008874D2" w:rsidRPr="00D75C5B">
        <w:t xml:space="preserve"> </w:t>
      </w:r>
      <w:r w:rsidR="0086015C" w:rsidRPr="00D75C5B">
        <w:t>a</w:t>
      </w:r>
      <w:r w:rsidR="004079D1" w:rsidRPr="00D75C5B">
        <w:t xml:space="preserve">n increase </w:t>
      </w:r>
      <w:r w:rsidR="008874D2" w:rsidRPr="00D75C5B">
        <w:t xml:space="preserve">from the </w:t>
      </w:r>
      <w:r w:rsidR="0086015C" w:rsidRPr="00D75C5B">
        <w:t xml:space="preserve">last </w:t>
      </w:r>
      <w:r w:rsidR="00F15C91" w:rsidRPr="00D75C5B">
        <w:t>t</w:t>
      </w:r>
      <w:r w:rsidR="004079D1" w:rsidRPr="00D75C5B">
        <w:t>wo</w:t>
      </w:r>
      <w:r w:rsidR="00F15C91" w:rsidRPr="00D75C5B">
        <w:t xml:space="preserve"> </w:t>
      </w:r>
      <w:r w:rsidR="008874D2" w:rsidRPr="00D75C5B">
        <w:t>quarter</w:t>
      </w:r>
      <w:r w:rsidR="00F15C91" w:rsidRPr="00D75C5B">
        <w:t>s</w:t>
      </w:r>
      <w:r w:rsidR="008874D2" w:rsidRPr="00D75C5B">
        <w:t>.</w:t>
      </w:r>
      <w:r w:rsidR="00F15C91" w:rsidRPr="00D75C5B">
        <w:t xml:space="preserve"> </w:t>
      </w:r>
      <w:r w:rsidR="00705697" w:rsidRPr="00D75C5B">
        <w:t>There was a</w:t>
      </w:r>
      <w:r w:rsidR="00F15C91" w:rsidRPr="00D75C5B">
        <w:t>n</w:t>
      </w:r>
      <w:r w:rsidR="0086015C" w:rsidRPr="00D75C5B">
        <w:t xml:space="preserve"> </w:t>
      </w:r>
      <w:r w:rsidR="00F15C91" w:rsidRPr="00D75C5B">
        <w:t>in</w:t>
      </w:r>
      <w:r w:rsidR="00705697" w:rsidRPr="00D75C5B">
        <w:t>crease in the number of reportable emergency medical treatment</w:t>
      </w:r>
      <w:r w:rsidR="00F15C91" w:rsidRPr="00D75C5B">
        <w:t>s- reportable</w:t>
      </w:r>
      <w:r w:rsidR="00705697" w:rsidRPr="00D75C5B">
        <w:t xml:space="preserve"> for FY23Q</w:t>
      </w:r>
      <w:r w:rsidR="004079D1" w:rsidRPr="00D75C5B">
        <w:t>4</w:t>
      </w:r>
      <w:r w:rsidR="0086015C" w:rsidRPr="00D75C5B">
        <w:t xml:space="preserve"> (</w:t>
      </w:r>
      <w:r w:rsidR="004079D1" w:rsidRPr="00D75C5B">
        <w:t>9</w:t>
      </w:r>
      <w:r w:rsidR="0086015C" w:rsidRPr="00D75C5B">
        <w:t xml:space="preserve">); </w:t>
      </w:r>
      <w:r w:rsidR="00F15C91" w:rsidRPr="00D75C5B">
        <w:t>compared to last quarter (</w:t>
      </w:r>
      <w:r w:rsidR="004079D1" w:rsidRPr="00D75C5B">
        <w:t>7</w:t>
      </w:r>
      <w:r w:rsidR="00F15C91" w:rsidRPr="00D75C5B">
        <w:t>)</w:t>
      </w:r>
      <w:r w:rsidR="00705697" w:rsidRPr="00D75C5B">
        <w:t>.</w:t>
      </w:r>
      <w:r w:rsidR="00F15C91" w:rsidRPr="00D75C5B">
        <w:t xml:space="preserve"> </w:t>
      </w:r>
      <w:r w:rsidR="002D14E6" w:rsidRPr="00D75C5B">
        <w:t xml:space="preserve">There were two deaths that may be changed to suicide as the cause of death after the death certificate is received. </w:t>
      </w:r>
      <w:r w:rsidR="002B3722" w:rsidRPr="00D75C5B">
        <w:t>Fo</w:t>
      </w:r>
      <w:r w:rsidR="008D2000" w:rsidRPr="00D75C5B">
        <w:t xml:space="preserve">r FY23, the most common type of adverse event continues to be emergency medical treatment due to injury (reportable); this was consistent with previous years. The distribution of types of adverse events for FY23 is </w:t>
      </w:r>
      <w:proofErr w:type="gramStart"/>
      <w:r w:rsidR="008D2000" w:rsidRPr="00D75C5B">
        <w:t>comparable</w:t>
      </w:r>
      <w:proofErr w:type="gramEnd"/>
      <w:r w:rsidR="008D2000" w:rsidRPr="00D75C5B">
        <w:t xml:space="preserve"> previous years as well.</w:t>
      </w:r>
      <w:r w:rsidR="002B3722" w:rsidRPr="00D75C5B">
        <w:t xml:space="preserve"> </w:t>
      </w:r>
      <w:r w:rsidR="00266651" w:rsidRPr="00D75C5B">
        <w:t xml:space="preserve">There </w:t>
      </w:r>
      <w:r w:rsidR="00705697" w:rsidRPr="00D75C5B">
        <w:t>does not appear to be any type of trend among these incidences</w:t>
      </w:r>
      <w:r w:rsidR="004F5D9A" w:rsidRPr="00D75C5B">
        <w:t xml:space="preserve">, therefore, no specific actions are identified </w:t>
      </w:r>
      <w:proofErr w:type="gramStart"/>
      <w:r w:rsidR="004F5D9A" w:rsidRPr="00D75C5B">
        <w:t>at this time</w:t>
      </w:r>
      <w:proofErr w:type="gramEnd"/>
      <w:r w:rsidR="004F5D9A" w:rsidRPr="00D75C5B">
        <w:t xml:space="preserve">. </w:t>
      </w:r>
    </w:p>
    <w:p w14:paraId="15581652" w14:textId="35DC4521" w:rsidR="005071C0" w:rsidRPr="00D75C5B" w:rsidRDefault="00CA7EDB" w:rsidP="0091646E">
      <w:pPr>
        <w:jc w:val="center"/>
      </w:pPr>
      <w:r w:rsidRPr="00D75C5B">
        <w:rPr>
          <w:noProof/>
        </w:rPr>
        <w:lastRenderedPageBreak/>
        <w:drawing>
          <wp:anchor distT="0" distB="0" distL="114300" distR="114300" simplePos="0" relativeHeight="251712512" behindDoc="1" locked="0" layoutInCell="1" allowOverlap="1" wp14:anchorId="7C86E139" wp14:editId="06278E19">
            <wp:simplePos x="0" y="0"/>
            <wp:positionH relativeFrom="column">
              <wp:posOffset>0</wp:posOffset>
            </wp:positionH>
            <wp:positionV relativeFrom="page">
              <wp:posOffset>1424940</wp:posOffset>
            </wp:positionV>
            <wp:extent cx="6979920" cy="1919605"/>
            <wp:effectExtent l="0" t="0" r="0" b="4445"/>
            <wp:wrapTight wrapText="bothSides">
              <wp:wrapPolygon edited="0">
                <wp:start x="0" y="0"/>
                <wp:lineTo x="0" y="21436"/>
                <wp:lineTo x="118" y="21436"/>
                <wp:lineTo x="13618" y="20578"/>
                <wp:lineTo x="20574" y="19506"/>
                <wp:lineTo x="20456" y="17149"/>
                <wp:lineTo x="20810" y="17149"/>
                <wp:lineTo x="20987" y="15648"/>
                <wp:lineTo x="20869" y="6859"/>
                <wp:lineTo x="21517" y="3644"/>
                <wp:lineTo x="21400" y="3430"/>
                <wp:lineTo x="15504" y="3430"/>
                <wp:lineTo x="21517" y="2572"/>
                <wp:lineTo x="21517" y="0"/>
                <wp:lineTo x="0" y="0"/>
              </wp:wrapPolygon>
            </wp:wrapTight>
            <wp:docPr id="1612057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992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8A405" w14:textId="0C748BF9" w:rsidR="00B64BAB" w:rsidRPr="00D75C5B" w:rsidRDefault="00B64BAB" w:rsidP="00B64BAB">
      <w:r w:rsidRPr="00D75C5B">
        <w:rPr>
          <w:b/>
          <w:bCs/>
        </w:rPr>
        <w:t xml:space="preserve">Reportable Behavior Treatment Events: </w:t>
      </w:r>
      <w:r w:rsidRPr="00D75C5B">
        <w:t>The number of emergency physical</w:t>
      </w:r>
      <w:r w:rsidR="009C73C5" w:rsidRPr="00D75C5B">
        <w:t xml:space="preserve"> </w:t>
      </w:r>
      <w:r w:rsidRPr="00D75C5B">
        <w:t xml:space="preserve">interventions </w:t>
      </w:r>
      <w:r w:rsidR="004F48EE" w:rsidRPr="00D75C5B">
        <w:t>de</w:t>
      </w:r>
      <w:r w:rsidRPr="00D75C5B">
        <w:t xml:space="preserve">creased for </w:t>
      </w:r>
      <w:proofErr w:type="gramStart"/>
      <w:r w:rsidRPr="00D75C5B">
        <w:t>FY2</w:t>
      </w:r>
      <w:r w:rsidR="00873424" w:rsidRPr="00D75C5B">
        <w:t>3Q</w:t>
      </w:r>
      <w:r w:rsidR="00061615" w:rsidRPr="00D75C5B">
        <w:t>4</w:t>
      </w:r>
      <w:proofErr w:type="gramEnd"/>
      <w:r w:rsidR="004F48EE" w:rsidRPr="00D75C5B">
        <w:t xml:space="preserve"> and</w:t>
      </w:r>
      <w:r w:rsidRPr="00D75C5B">
        <w:t xml:space="preserve"> the </w:t>
      </w:r>
      <w:r w:rsidR="005616B7" w:rsidRPr="00D75C5B">
        <w:t xml:space="preserve">overall </w:t>
      </w:r>
      <w:r w:rsidRPr="00D75C5B">
        <w:t xml:space="preserve">number of interventions continues on a downward trend. </w:t>
      </w:r>
      <w:r w:rsidR="004F48EE" w:rsidRPr="00D75C5B">
        <w:t xml:space="preserve"> </w:t>
      </w:r>
      <w:r w:rsidR="007A2BF4" w:rsidRPr="00D75C5B">
        <w:t>There were 1</w:t>
      </w:r>
      <w:r w:rsidR="00061615" w:rsidRPr="00D75C5B">
        <w:t>5</w:t>
      </w:r>
      <w:r w:rsidR="007A2BF4" w:rsidRPr="00D75C5B">
        <w:t xml:space="preserve"> consumers that accounted for the </w:t>
      </w:r>
      <w:r w:rsidR="00061615" w:rsidRPr="00D75C5B">
        <w:t>27</w:t>
      </w:r>
      <w:r w:rsidR="007A2BF4" w:rsidRPr="00D75C5B">
        <w:t xml:space="preserve"> emergency physical interventions.</w:t>
      </w:r>
      <w:r w:rsidR="00061615" w:rsidRPr="00D75C5B">
        <w:t xml:space="preserve">  Overall, there was consistency with the number of emergency physical interventions for FY22 (129) compared to FY23 (132).  </w:t>
      </w:r>
      <w:r w:rsidR="00AD776E" w:rsidRPr="00D75C5B">
        <w:t>There w</w:t>
      </w:r>
      <w:r w:rsidR="004F48EE" w:rsidRPr="00D75C5B">
        <w:t xml:space="preserve">ere </w:t>
      </w:r>
      <w:r w:rsidR="00061615" w:rsidRPr="00D75C5B">
        <w:t>four</w:t>
      </w:r>
      <w:r w:rsidR="004F48EE" w:rsidRPr="00D75C5B">
        <w:t xml:space="preserve"> </w:t>
      </w:r>
      <w:r w:rsidR="00AD776E" w:rsidRPr="00D75C5B">
        <w:t>911 call</w:t>
      </w:r>
      <w:r w:rsidR="004F48EE" w:rsidRPr="00D75C5B">
        <w:t>s</w:t>
      </w:r>
      <w:r w:rsidR="00AD776E" w:rsidRPr="00D75C5B">
        <w:t xml:space="preserve"> made for behavioral assistance for FY23Q</w:t>
      </w:r>
      <w:r w:rsidR="00061615" w:rsidRPr="00D75C5B">
        <w:t>4</w:t>
      </w:r>
      <w:r w:rsidR="00AD776E" w:rsidRPr="00D75C5B">
        <w:t>; the overall trend continues downward.</w:t>
      </w:r>
    </w:p>
    <w:p w14:paraId="554CE257" w14:textId="201B3D12" w:rsidR="001B30CC" w:rsidRPr="00D75C5B" w:rsidRDefault="00625757" w:rsidP="00B64BAB">
      <w:r w:rsidRPr="00D75C5B">
        <w:rPr>
          <w:noProof/>
        </w:rPr>
        <w:drawing>
          <wp:anchor distT="0" distB="0" distL="114300" distR="114300" simplePos="0" relativeHeight="251713536" behindDoc="1" locked="0" layoutInCell="1" allowOverlap="1" wp14:anchorId="0D022842" wp14:editId="2DB044D3">
            <wp:simplePos x="0" y="0"/>
            <wp:positionH relativeFrom="column">
              <wp:posOffset>0</wp:posOffset>
            </wp:positionH>
            <wp:positionV relativeFrom="page">
              <wp:posOffset>4777740</wp:posOffset>
            </wp:positionV>
            <wp:extent cx="3695700" cy="2051050"/>
            <wp:effectExtent l="0" t="0" r="0" b="6350"/>
            <wp:wrapTight wrapText="bothSides">
              <wp:wrapPolygon edited="0">
                <wp:start x="0" y="0"/>
                <wp:lineTo x="0" y="21466"/>
                <wp:lineTo x="223" y="21466"/>
                <wp:lineTo x="21489" y="20864"/>
                <wp:lineTo x="21489" y="0"/>
                <wp:lineTo x="0" y="0"/>
              </wp:wrapPolygon>
            </wp:wrapTight>
            <wp:docPr id="1045812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BAB" w:rsidRPr="00D75C5B">
        <w:rPr>
          <w:b/>
          <w:bCs/>
        </w:rPr>
        <w:t xml:space="preserve">Completion of Crisis Plan: </w:t>
      </w:r>
      <w:r w:rsidR="00B64BAB" w:rsidRPr="00D75C5B">
        <w:t xml:space="preserve">BABH </w:t>
      </w:r>
      <w:r w:rsidR="007A2BF4" w:rsidRPr="00D75C5B">
        <w:t>started a new measurement for the completion of crisis plans for FY23Q2.  Instead of looking at individual providers offering a crisis plan, it was determined that the new goal was to increase the completion of crisis plans overall broken out by specific populations.  The</w:t>
      </w:r>
      <w:r w:rsidR="00C86A8B" w:rsidRPr="00D75C5B">
        <w:t xml:space="preserve">re was a decrease for FY23Q3 compared to previous quarters for the </w:t>
      </w:r>
      <w:r w:rsidR="007A2BF4" w:rsidRPr="00D75C5B">
        <w:t>MI-SMI and MI-SED populations</w:t>
      </w:r>
      <w:r w:rsidR="00C86A8B" w:rsidRPr="00D75C5B">
        <w:t>.</w:t>
      </w:r>
    </w:p>
    <w:p w14:paraId="41E44DA8" w14:textId="5A832AD8" w:rsidR="0091646E" w:rsidRPr="00D75C5B" w:rsidRDefault="0091646E" w:rsidP="00B64BAB">
      <w:pPr>
        <w:rPr>
          <w:b/>
          <w:bCs/>
          <w:sz w:val="10"/>
          <w:szCs w:val="10"/>
        </w:rPr>
      </w:pPr>
    </w:p>
    <w:p w14:paraId="6254327E" w14:textId="0CF6454C" w:rsidR="00625757" w:rsidRPr="00D75C5B" w:rsidRDefault="00625757" w:rsidP="00B64BAB">
      <w:pPr>
        <w:rPr>
          <w:b/>
          <w:bCs/>
        </w:rPr>
      </w:pPr>
      <w:r w:rsidRPr="00D75C5B">
        <w:rPr>
          <w:noProof/>
        </w:rPr>
        <w:drawing>
          <wp:anchor distT="0" distB="0" distL="114300" distR="114300" simplePos="0" relativeHeight="251722752" behindDoc="1" locked="0" layoutInCell="1" allowOverlap="1" wp14:anchorId="7EC2781B" wp14:editId="546D4627">
            <wp:simplePos x="0" y="0"/>
            <wp:positionH relativeFrom="column">
              <wp:posOffset>2918460</wp:posOffset>
            </wp:positionH>
            <wp:positionV relativeFrom="paragraph">
              <wp:posOffset>321310</wp:posOffset>
            </wp:positionV>
            <wp:extent cx="4122420" cy="2209800"/>
            <wp:effectExtent l="0" t="0" r="0" b="0"/>
            <wp:wrapTight wrapText="bothSides">
              <wp:wrapPolygon edited="0">
                <wp:start x="0" y="0"/>
                <wp:lineTo x="0" y="21414"/>
                <wp:lineTo x="200" y="21414"/>
                <wp:lineTo x="21460" y="20669"/>
                <wp:lineTo x="21460" y="0"/>
                <wp:lineTo x="0" y="0"/>
              </wp:wrapPolygon>
            </wp:wrapTight>
            <wp:docPr id="2041285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42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2D764" w14:textId="6386C080" w:rsidR="005175DB" w:rsidRPr="00D75C5B" w:rsidRDefault="005175DB" w:rsidP="00B64BAB">
      <w:r w:rsidRPr="00D75C5B">
        <w:rPr>
          <w:b/>
          <w:bCs/>
        </w:rPr>
        <w:t xml:space="preserve">Risk Events: </w:t>
      </w:r>
      <w:r w:rsidRPr="00D75C5B">
        <w:t xml:space="preserve">Risk events are identified as ‘harm to self, harm to others, police </w:t>
      </w:r>
      <w:proofErr w:type="gramStart"/>
      <w:r w:rsidRPr="00D75C5B">
        <w:t>calls</w:t>
      </w:r>
      <w:proofErr w:type="gramEnd"/>
      <w:r w:rsidRPr="00D75C5B">
        <w:t xml:space="preserve"> for behavioral assistance, emergency physical interventions, and two or more hospitalizations.’  The trend of risk events </w:t>
      </w:r>
      <w:proofErr w:type="gramStart"/>
      <w:r w:rsidRPr="00D75C5B">
        <w:t>have</w:t>
      </w:r>
      <w:proofErr w:type="gramEnd"/>
      <w:r w:rsidRPr="00D75C5B">
        <w:t xml:space="preserve"> increased over the past couple of years.  This is due to more accurate reporting with extra monitoring that started during FY22Q4.  Some incidences may have multiple risk events and would also increase this number.</w:t>
      </w:r>
      <w:r w:rsidR="00BB421B" w:rsidRPr="00D75C5B">
        <w:t xml:space="preserve"> The number of risk events for FY23Q4 is consistent with the previous two quarters.</w:t>
      </w:r>
    </w:p>
    <w:p w14:paraId="3755460C" w14:textId="17F2C10A" w:rsidR="005175DB" w:rsidRPr="00D75C5B" w:rsidRDefault="005175DB" w:rsidP="00B64BAB">
      <w:pPr>
        <w:rPr>
          <w:b/>
          <w:bCs/>
        </w:rPr>
      </w:pPr>
    </w:p>
    <w:p w14:paraId="575F1193" w14:textId="77777777" w:rsidR="00676BB6" w:rsidRPr="00D75C5B" w:rsidRDefault="00676BB6" w:rsidP="00676BB6">
      <w:pPr>
        <w:spacing w:after="0" w:line="240" w:lineRule="auto"/>
        <w:rPr>
          <w:b/>
          <w:bCs/>
          <w:color w:val="000000"/>
        </w:rPr>
      </w:pPr>
    </w:p>
    <w:p w14:paraId="50EF909E" w14:textId="5C96FA4A" w:rsidR="00B64BAB" w:rsidRPr="00D75C5B" w:rsidRDefault="00B64BAB" w:rsidP="00B64BAB">
      <w:pPr>
        <w:rPr>
          <w:b/>
          <w:bCs/>
          <w:color w:val="000000"/>
        </w:rPr>
      </w:pPr>
      <w:r w:rsidRPr="00D75C5B">
        <w:rPr>
          <w:b/>
          <w:bCs/>
          <w:color w:val="000000"/>
        </w:rPr>
        <w:t xml:space="preserve">The Number of Days to Resolve a Grievance is Lower Than </w:t>
      </w:r>
      <w:r w:rsidR="00310A2A" w:rsidRPr="00D75C5B">
        <w:rPr>
          <w:b/>
          <w:bCs/>
          <w:color w:val="000000"/>
        </w:rPr>
        <w:t>t</w:t>
      </w:r>
      <w:r w:rsidRPr="00D75C5B">
        <w:rPr>
          <w:b/>
          <w:bCs/>
          <w:color w:val="000000"/>
        </w:rPr>
        <w:t xml:space="preserve">he MDHHS Standard of 90 Days: </w:t>
      </w:r>
      <w:r w:rsidRPr="00D75C5B">
        <w:rPr>
          <w:color w:val="000000"/>
        </w:rPr>
        <w:t>For FY2</w:t>
      </w:r>
      <w:r w:rsidR="00B42C2A" w:rsidRPr="00D75C5B">
        <w:rPr>
          <w:color w:val="000000"/>
        </w:rPr>
        <w:t>3Q</w:t>
      </w:r>
      <w:r w:rsidR="00570215" w:rsidRPr="00D75C5B">
        <w:rPr>
          <w:color w:val="000000"/>
        </w:rPr>
        <w:t>3</w:t>
      </w:r>
      <w:r w:rsidRPr="00D75C5B">
        <w:rPr>
          <w:color w:val="000000"/>
        </w:rPr>
        <w:t xml:space="preserve">, BABH completed grievances in </w:t>
      </w:r>
      <w:r w:rsidR="00570215" w:rsidRPr="00D75C5B">
        <w:rPr>
          <w:color w:val="000000"/>
        </w:rPr>
        <w:t>44.3</w:t>
      </w:r>
      <w:r w:rsidRPr="00D75C5B">
        <w:rPr>
          <w:color w:val="000000"/>
        </w:rPr>
        <w:t xml:space="preserve"> days which is lower than the standard</w:t>
      </w:r>
      <w:r w:rsidR="00570215" w:rsidRPr="00D75C5B">
        <w:rPr>
          <w:color w:val="000000"/>
        </w:rPr>
        <w:t>.</w:t>
      </w:r>
    </w:p>
    <w:p w14:paraId="3D95F6AC" w14:textId="0F5FE8DF" w:rsidR="000F6782" w:rsidRPr="00D75C5B" w:rsidRDefault="00B64BAB" w:rsidP="00B64BAB">
      <w:pPr>
        <w:rPr>
          <w:color w:val="000000"/>
        </w:rPr>
      </w:pPr>
      <w:r w:rsidRPr="00D75C5B">
        <w:rPr>
          <w:b/>
          <w:bCs/>
          <w:color w:val="000000"/>
        </w:rPr>
        <w:t xml:space="preserve">The Number of Days to Resolve a Local Appeal is Lower Than </w:t>
      </w:r>
      <w:r w:rsidR="00310A2A" w:rsidRPr="00D75C5B">
        <w:rPr>
          <w:b/>
          <w:bCs/>
          <w:color w:val="000000"/>
        </w:rPr>
        <w:t>t</w:t>
      </w:r>
      <w:r w:rsidRPr="00D75C5B">
        <w:rPr>
          <w:b/>
          <w:bCs/>
          <w:color w:val="000000"/>
        </w:rPr>
        <w:t xml:space="preserve">he MDHHS Standard of 30 Days: </w:t>
      </w:r>
      <w:r w:rsidRPr="00D75C5B">
        <w:rPr>
          <w:color w:val="000000"/>
        </w:rPr>
        <w:t>For FY2</w:t>
      </w:r>
      <w:r w:rsidR="00B42C2A" w:rsidRPr="00D75C5B">
        <w:rPr>
          <w:color w:val="000000"/>
        </w:rPr>
        <w:t>3Q</w:t>
      </w:r>
      <w:r w:rsidR="00570215" w:rsidRPr="00D75C5B">
        <w:rPr>
          <w:color w:val="000000"/>
        </w:rPr>
        <w:t>3</w:t>
      </w:r>
      <w:r w:rsidRPr="00D75C5B">
        <w:rPr>
          <w:color w:val="000000"/>
        </w:rPr>
        <w:t>, BABH completed appeals in</w:t>
      </w:r>
      <w:r w:rsidR="00DD4B60" w:rsidRPr="00D75C5B">
        <w:rPr>
          <w:color w:val="000000"/>
        </w:rPr>
        <w:t xml:space="preserve"> </w:t>
      </w:r>
      <w:r w:rsidR="00570215" w:rsidRPr="00D75C5B">
        <w:rPr>
          <w:color w:val="000000"/>
        </w:rPr>
        <w:t>26.9</w:t>
      </w:r>
      <w:r w:rsidRPr="00D75C5B">
        <w:rPr>
          <w:color w:val="000000"/>
        </w:rPr>
        <w:t xml:space="preserve"> days which is significantly lower than the standard.  </w:t>
      </w:r>
    </w:p>
    <w:p w14:paraId="7ABC507A" w14:textId="77329F67" w:rsidR="00B630AC" w:rsidRPr="00D75C5B" w:rsidRDefault="00CA7EDB" w:rsidP="00DB052C">
      <w:pPr>
        <w:jc w:val="center"/>
        <w:rPr>
          <w:b/>
          <w:bCs/>
          <w:sz w:val="28"/>
          <w:szCs w:val="28"/>
          <w:u w:val="single"/>
        </w:rPr>
      </w:pPr>
      <w:r w:rsidRPr="00D75C5B">
        <w:rPr>
          <w:noProof/>
        </w:rPr>
        <w:drawing>
          <wp:anchor distT="0" distB="0" distL="114300" distR="114300" simplePos="0" relativeHeight="251714560" behindDoc="0" locked="0" layoutInCell="1" allowOverlap="1" wp14:anchorId="6F26D1F0" wp14:editId="225BA974">
            <wp:simplePos x="0" y="0"/>
            <wp:positionH relativeFrom="column">
              <wp:posOffset>0</wp:posOffset>
            </wp:positionH>
            <wp:positionV relativeFrom="page">
              <wp:posOffset>2865120</wp:posOffset>
            </wp:positionV>
            <wp:extent cx="4617720" cy="2560320"/>
            <wp:effectExtent l="0" t="0" r="0" b="0"/>
            <wp:wrapSquare wrapText="bothSides"/>
            <wp:docPr id="7566481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7720"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30AC" w:rsidRPr="00D75C5B">
        <w:rPr>
          <w:b/>
          <w:bCs/>
          <w:sz w:val="28"/>
          <w:szCs w:val="28"/>
          <w:u w:val="single"/>
        </w:rPr>
        <w:t>OUTCOMES</w:t>
      </w:r>
    </w:p>
    <w:p w14:paraId="28F71170" w14:textId="19AB941F" w:rsidR="007A07C3" w:rsidRPr="00D75C5B" w:rsidRDefault="00CA7EDB" w:rsidP="0046752D">
      <w:r w:rsidRPr="00D75C5B">
        <w:rPr>
          <w:b/>
          <w:bCs/>
        </w:rPr>
        <w:t>Co</w:t>
      </w:r>
      <w:r w:rsidR="008A1262" w:rsidRPr="00D75C5B">
        <w:rPr>
          <w:b/>
          <w:bCs/>
        </w:rPr>
        <w:t>nsumers Diagnosed with Schizophrenia or Bipolar Disorder Taking an Antipsychotic Who Are Screened for Diabetes:</w:t>
      </w:r>
      <w:r w:rsidR="00867C4F" w:rsidRPr="00D75C5B">
        <w:rPr>
          <w:b/>
          <w:bCs/>
        </w:rPr>
        <w:t xml:space="preserve"> </w:t>
      </w:r>
      <w:r w:rsidR="00867C4F" w:rsidRPr="00D75C5B">
        <w:t xml:space="preserve">BABH </w:t>
      </w:r>
      <w:r w:rsidR="003C7AAD" w:rsidRPr="00D75C5B">
        <w:t xml:space="preserve">had </w:t>
      </w:r>
      <w:r w:rsidR="00C97457" w:rsidRPr="00D75C5B">
        <w:t>a</w:t>
      </w:r>
      <w:r w:rsidR="00C50EB8" w:rsidRPr="00D75C5B">
        <w:t xml:space="preserve"> slight</w:t>
      </w:r>
      <w:r w:rsidR="00C97457" w:rsidRPr="00D75C5B">
        <w:t xml:space="preserve"> </w:t>
      </w:r>
      <w:r w:rsidR="00C50EB8" w:rsidRPr="00D75C5B">
        <w:t>de</w:t>
      </w:r>
      <w:r w:rsidR="003C7AAD" w:rsidRPr="00D75C5B">
        <w:t>crease in consumers receiving the appropriate labs for this measure during FY2</w:t>
      </w:r>
      <w:r w:rsidR="00C97457" w:rsidRPr="00D75C5B">
        <w:t>3Q</w:t>
      </w:r>
      <w:r w:rsidR="00C50EB8" w:rsidRPr="00D75C5B">
        <w:t>3 (2%)</w:t>
      </w:r>
      <w:r w:rsidR="003C7AAD" w:rsidRPr="00D75C5B">
        <w:t xml:space="preserve">.  </w:t>
      </w:r>
      <w:r w:rsidR="00E75896" w:rsidRPr="00D75C5B">
        <w:t xml:space="preserve">There is a </w:t>
      </w:r>
      <w:r w:rsidR="00C97457" w:rsidRPr="00D75C5B">
        <w:t xml:space="preserve">very </w:t>
      </w:r>
      <w:r w:rsidR="00E75896" w:rsidRPr="00D75C5B">
        <w:t xml:space="preserve">slight </w:t>
      </w:r>
      <w:r w:rsidR="000F6782" w:rsidRPr="00D75C5B">
        <w:t>up</w:t>
      </w:r>
      <w:r w:rsidR="00E75896" w:rsidRPr="00D75C5B">
        <w:t>ward trend for this measure from FY19Q1 through FY2</w:t>
      </w:r>
      <w:r w:rsidR="00C97457" w:rsidRPr="00D75C5B">
        <w:t>3Q</w:t>
      </w:r>
      <w:r w:rsidR="00C50EB8" w:rsidRPr="00D75C5B">
        <w:t>3</w:t>
      </w:r>
      <w:r w:rsidR="00E75896" w:rsidRPr="00D75C5B">
        <w:t>.</w:t>
      </w:r>
      <w:r w:rsidR="000F6782" w:rsidRPr="00D75C5B">
        <w:t xml:space="preserve">  BABH staff continue to send out monthly reports to help improve/sustain this measure.</w:t>
      </w:r>
    </w:p>
    <w:p w14:paraId="59B93FEB" w14:textId="27566A6A" w:rsidR="00625757" w:rsidRPr="00D75C5B" w:rsidRDefault="00625757" w:rsidP="0046752D"/>
    <w:p w14:paraId="56383086" w14:textId="665E2E45" w:rsidR="0046752D" w:rsidRPr="00D75C5B" w:rsidRDefault="00625757" w:rsidP="0046752D">
      <w:r w:rsidRPr="00D75C5B">
        <w:rPr>
          <w:noProof/>
        </w:rPr>
        <w:drawing>
          <wp:anchor distT="0" distB="0" distL="114300" distR="114300" simplePos="0" relativeHeight="251715584" behindDoc="1" locked="0" layoutInCell="1" allowOverlap="1" wp14:anchorId="2EE1E555" wp14:editId="5B9F4395">
            <wp:simplePos x="0" y="0"/>
            <wp:positionH relativeFrom="column">
              <wp:posOffset>2308860</wp:posOffset>
            </wp:positionH>
            <wp:positionV relativeFrom="page">
              <wp:posOffset>5913120</wp:posOffset>
            </wp:positionV>
            <wp:extent cx="4556760" cy="2857500"/>
            <wp:effectExtent l="0" t="0" r="0" b="0"/>
            <wp:wrapTight wrapText="bothSides">
              <wp:wrapPolygon edited="0">
                <wp:start x="0" y="0"/>
                <wp:lineTo x="0" y="21456"/>
                <wp:lineTo x="181" y="21456"/>
                <wp:lineTo x="181" y="20736"/>
                <wp:lineTo x="13545" y="19872"/>
                <wp:lineTo x="20860" y="19152"/>
                <wp:lineTo x="20679" y="18432"/>
                <wp:lineTo x="21221" y="16128"/>
                <wp:lineTo x="21401" y="14544"/>
                <wp:lineTo x="20679" y="14400"/>
                <wp:lineTo x="8037" y="13824"/>
                <wp:lineTo x="21130" y="13392"/>
                <wp:lineTo x="21311" y="11520"/>
                <wp:lineTo x="19415" y="11520"/>
                <wp:lineTo x="21311" y="10512"/>
                <wp:lineTo x="21130" y="4896"/>
                <wp:lineTo x="21492" y="4464"/>
                <wp:lineTo x="21492" y="0"/>
                <wp:lineTo x="0" y="0"/>
              </wp:wrapPolygon>
            </wp:wrapTight>
            <wp:docPr id="20883867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76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752D" w:rsidRPr="00D75C5B">
        <w:rPr>
          <w:b/>
          <w:bCs/>
        </w:rPr>
        <w:t>Consumers Diagnosed with Schizophrenia and Diabetes Who Received Lab Work to Monitor</w:t>
      </w:r>
      <w:r w:rsidR="00CA7EDB" w:rsidRPr="00D75C5B">
        <w:rPr>
          <w:b/>
          <w:bCs/>
        </w:rPr>
        <w:t xml:space="preserve"> Diabetes: </w:t>
      </w:r>
      <w:r w:rsidR="00CA7EDB" w:rsidRPr="00D75C5B">
        <w:t xml:space="preserve">BABH saw a </w:t>
      </w:r>
      <w:r w:rsidR="00C50EB8" w:rsidRPr="00D75C5B">
        <w:t>de</w:t>
      </w:r>
      <w:r w:rsidR="00CA7EDB" w:rsidRPr="00D75C5B">
        <w:t>crease in consumers receiving the appropriate labs for this measure doing FY23Q</w:t>
      </w:r>
      <w:r w:rsidR="00C50EB8" w:rsidRPr="00D75C5B">
        <w:t>3</w:t>
      </w:r>
      <w:r w:rsidR="00CA7EDB" w:rsidRPr="00D75C5B">
        <w:t xml:space="preserve"> and there continues to be an upward trend. BABH </w:t>
      </w:r>
      <w:r w:rsidR="00C50EB8" w:rsidRPr="00D75C5B">
        <w:t>determined that the lag in billing on the medical side is impacting the appearance of compliance.</w:t>
      </w:r>
    </w:p>
    <w:p w14:paraId="4FDD1DA2" w14:textId="6CEF5A34" w:rsidR="00636B21" w:rsidRPr="00D75C5B" w:rsidRDefault="00636B21" w:rsidP="00282C7A">
      <w:pPr>
        <w:rPr>
          <w:b/>
          <w:bCs/>
        </w:rPr>
      </w:pPr>
    </w:p>
    <w:p w14:paraId="7D067A73" w14:textId="16BC5609" w:rsidR="00CA7EDB" w:rsidRPr="00D75C5B" w:rsidRDefault="00CA7EDB" w:rsidP="00CA7EDB"/>
    <w:p w14:paraId="19F9110C" w14:textId="77777777" w:rsidR="007A07C3" w:rsidRPr="00D75C5B" w:rsidRDefault="007A07C3" w:rsidP="00CA7EDB"/>
    <w:p w14:paraId="0D99C612" w14:textId="37AFFE29" w:rsidR="007A07C3" w:rsidRPr="00D75C5B" w:rsidRDefault="007A07C3" w:rsidP="00CA7EDB"/>
    <w:p w14:paraId="63BF2EAC" w14:textId="50641B2E" w:rsidR="00B630AC" w:rsidRPr="00D75C5B" w:rsidRDefault="007A07C3" w:rsidP="00282C7A">
      <w:r w:rsidRPr="00D75C5B">
        <w:rPr>
          <w:noProof/>
        </w:rPr>
        <w:lastRenderedPageBreak/>
        <w:drawing>
          <wp:anchor distT="0" distB="0" distL="114300" distR="114300" simplePos="0" relativeHeight="251716608" behindDoc="1" locked="0" layoutInCell="1" allowOverlap="1" wp14:anchorId="2B042032" wp14:editId="45475789">
            <wp:simplePos x="0" y="0"/>
            <wp:positionH relativeFrom="column">
              <wp:posOffset>0</wp:posOffset>
            </wp:positionH>
            <wp:positionV relativeFrom="paragraph">
              <wp:posOffset>5715</wp:posOffset>
            </wp:positionV>
            <wp:extent cx="3787140" cy="2125980"/>
            <wp:effectExtent l="0" t="0" r="3810" b="7620"/>
            <wp:wrapTight wrapText="bothSides">
              <wp:wrapPolygon edited="0">
                <wp:start x="0" y="0"/>
                <wp:lineTo x="0" y="21484"/>
                <wp:lineTo x="217" y="21484"/>
                <wp:lineTo x="8258" y="21290"/>
                <wp:lineTo x="20427" y="19742"/>
                <wp:lineTo x="20318" y="18581"/>
                <wp:lineTo x="21513" y="16645"/>
                <wp:lineTo x="20644" y="16452"/>
                <wp:lineTo x="1521" y="15484"/>
                <wp:lineTo x="21296" y="15484"/>
                <wp:lineTo x="21404" y="13548"/>
                <wp:lineTo x="13038" y="12387"/>
                <wp:lineTo x="20970" y="12387"/>
                <wp:lineTo x="21513" y="12194"/>
                <wp:lineTo x="21513" y="0"/>
                <wp:lineTo x="0" y="0"/>
              </wp:wrapPolygon>
            </wp:wrapTight>
            <wp:docPr id="18849615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714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262" w:rsidRPr="00D75C5B">
        <w:rPr>
          <w:b/>
          <w:bCs/>
        </w:rPr>
        <w:t>Consumers Diagnosed with Schizophrenia or Bipolar Disorder Taking an Antipsychotic Who Are Screened for Cardiovascular Disease:</w:t>
      </w:r>
      <w:r w:rsidR="00867C4F" w:rsidRPr="00D75C5B">
        <w:rPr>
          <w:b/>
          <w:bCs/>
        </w:rPr>
        <w:t xml:space="preserve"> </w:t>
      </w:r>
      <w:r w:rsidR="00867C4F" w:rsidRPr="00D75C5B">
        <w:t>B</w:t>
      </w:r>
      <w:r w:rsidR="00EC64E3" w:rsidRPr="00D75C5B">
        <w:t xml:space="preserve">ABH saw a significant </w:t>
      </w:r>
      <w:r w:rsidR="00C23489" w:rsidRPr="00D75C5B">
        <w:t>in</w:t>
      </w:r>
      <w:r w:rsidR="00EC64E3" w:rsidRPr="00D75C5B">
        <w:t>crease in this measure for FY2</w:t>
      </w:r>
      <w:r w:rsidR="003F12C0" w:rsidRPr="00D75C5B">
        <w:t>3Q</w:t>
      </w:r>
      <w:r w:rsidR="005B7F9E" w:rsidRPr="00D75C5B">
        <w:t>3</w:t>
      </w:r>
      <w:r w:rsidR="00EC64E3" w:rsidRPr="00D75C5B">
        <w:t xml:space="preserve">.  </w:t>
      </w:r>
      <w:r w:rsidR="005B7F9E" w:rsidRPr="00D75C5B">
        <w:t>BABH determined that the lag in billing on the medical side is impacting the appearance of compliance.</w:t>
      </w:r>
    </w:p>
    <w:p w14:paraId="31067A46" w14:textId="2B153468" w:rsidR="000C22EA" w:rsidRPr="00D75C5B" w:rsidRDefault="000C22EA" w:rsidP="00282C7A"/>
    <w:p w14:paraId="5B46D877" w14:textId="6A73FB02" w:rsidR="008A1409" w:rsidRPr="00D75C5B" w:rsidRDefault="008A1409" w:rsidP="00282C7A"/>
    <w:p w14:paraId="6E4E2EA6" w14:textId="77777777" w:rsidR="00801039" w:rsidRPr="00D75C5B" w:rsidRDefault="00801039" w:rsidP="00B64BAB"/>
    <w:p w14:paraId="3CC5879D" w14:textId="77777777" w:rsidR="00801039" w:rsidRPr="00D75C5B" w:rsidRDefault="00801039" w:rsidP="00B64BAB"/>
    <w:p w14:paraId="2FF3DAE1" w14:textId="48609874" w:rsidR="006206B0" w:rsidRPr="00D75C5B" w:rsidRDefault="00F81B66" w:rsidP="00B64BAB">
      <w:r w:rsidRPr="00D75C5B">
        <w:rPr>
          <w:noProof/>
        </w:rPr>
        <w:drawing>
          <wp:anchor distT="0" distB="0" distL="114300" distR="114300" simplePos="0" relativeHeight="251721728" behindDoc="1" locked="0" layoutInCell="1" allowOverlap="1" wp14:anchorId="0237B59B" wp14:editId="52B7A474">
            <wp:simplePos x="0" y="0"/>
            <wp:positionH relativeFrom="column">
              <wp:posOffset>2415540</wp:posOffset>
            </wp:positionH>
            <wp:positionV relativeFrom="paragraph">
              <wp:posOffset>235585</wp:posOffset>
            </wp:positionV>
            <wp:extent cx="4503420" cy="2598420"/>
            <wp:effectExtent l="0" t="0" r="0" b="0"/>
            <wp:wrapTight wrapText="bothSides">
              <wp:wrapPolygon edited="0">
                <wp:start x="0" y="0"/>
                <wp:lineTo x="0" y="21378"/>
                <wp:lineTo x="183" y="21378"/>
                <wp:lineTo x="2010" y="21220"/>
                <wp:lineTo x="21381" y="20428"/>
                <wp:lineTo x="21472" y="3326"/>
                <wp:lineTo x="15076" y="2534"/>
                <wp:lineTo x="21472" y="2534"/>
                <wp:lineTo x="21472" y="0"/>
                <wp:lineTo x="0" y="0"/>
              </wp:wrapPolygon>
            </wp:wrapTight>
            <wp:docPr id="413283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3420" cy="259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69BF5" w14:textId="75A1BEB2" w:rsidR="00B64BAB" w:rsidRPr="00D75C5B" w:rsidRDefault="00B64BAB" w:rsidP="00B64BAB">
      <w:r w:rsidRPr="00D75C5B">
        <w:rPr>
          <w:b/>
          <w:bCs/>
        </w:rPr>
        <w:t xml:space="preserve">Evidence of Primary Care Coordination: </w:t>
      </w:r>
      <w:r w:rsidR="005B7F9E" w:rsidRPr="00D75C5B">
        <w:t xml:space="preserve">The </w:t>
      </w:r>
      <w:r w:rsidRPr="00D75C5B">
        <w:t xml:space="preserve">contract providers </w:t>
      </w:r>
      <w:r w:rsidR="003B5F51" w:rsidRPr="00D75C5B">
        <w:t>did not meet the</w:t>
      </w:r>
      <w:r w:rsidRPr="00D75C5B">
        <w:t xml:space="preserve"> 95% standard for having evidence of health care coordination during </w:t>
      </w:r>
      <w:r w:rsidR="003B5F51" w:rsidRPr="00D75C5B">
        <w:t>FY2</w:t>
      </w:r>
      <w:r w:rsidR="00DC6C35" w:rsidRPr="00D75C5B">
        <w:t>3Q</w:t>
      </w:r>
      <w:r w:rsidR="005B7F9E" w:rsidRPr="00D75C5B">
        <w:t>3. BABH-Direct had an increase for FY23Q3</w:t>
      </w:r>
      <w:r w:rsidR="007C4598" w:rsidRPr="00D75C5B">
        <w:t xml:space="preserve"> and met the 95% standard</w:t>
      </w:r>
      <w:r w:rsidR="005B7F9E" w:rsidRPr="00D75C5B">
        <w:t>.</w:t>
      </w:r>
      <w:r w:rsidRPr="00D75C5B">
        <w:t xml:space="preserve"> Corrective action plans have been put into place </w:t>
      </w:r>
      <w:r w:rsidR="005B7F9E" w:rsidRPr="00D75C5B">
        <w:t>and discussions have taken place about using the electronic health record to</w:t>
      </w:r>
      <w:r w:rsidR="007C4598" w:rsidRPr="00D75C5B">
        <w:t xml:space="preserve"> document coordination efforts. There have been some barriers to using this form which is being addressed through the Electronic Health Record Committee.</w:t>
      </w:r>
      <w:r w:rsidR="005B7F9E" w:rsidRPr="00D75C5B">
        <w:t xml:space="preserve"> </w:t>
      </w:r>
    </w:p>
    <w:p w14:paraId="45BC7301" w14:textId="54A93C9A" w:rsidR="007A07C3" w:rsidRPr="00D75C5B" w:rsidRDefault="007A07C3" w:rsidP="00B64BAB"/>
    <w:p w14:paraId="4EBE4BF8" w14:textId="2071AB6E" w:rsidR="00871479" w:rsidRPr="00D75C5B" w:rsidRDefault="007A07C3" w:rsidP="006206B0">
      <w:pPr>
        <w:jc w:val="center"/>
        <w:rPr>
          <w:b/>
          <w:bCs/>
        </w:rPr>
      </w:pPr>
      <w:r w:rsidRPr="00D75C5B">
        <w:rPr>
          <w:noProof/>
        </w:rPr>
        <w:lastRenderedPageBreak/>
        <w:drawing>
          <wp:inline distT="0" distB="0" distL="0" distR="0" wp14:anchorId="11208832" wp14:editId="728CCD9B">
            <wp:extent cx="6957060" cy="2319020"/>
            <wp:effectExtent l="0" t="0" r="0" b="5080"/>
            <wp:docPr id="19329126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7060" cy="2319020"/>
                    </a:xfrm>
                    <a:prstGeom prst="rect">
                      <a:avLst/>
                    </a:prstGeom>
                    <a:noFill/>
                    <a:ln>
                      <a:noFill/>
                    </a:ln>
                  </pic:spPr>
                </pic:pic>
              </a:graphicData>
            </a:graphic>
          </wp:inline>
        </w:drawing>
      </w:r>
    </w:p>
    <w:p w14:paraId="50588909" w14:textId="77777777" w:rsidR="00801039" w:rsidRPr="00D75C5B" w:rsidRDefault="00B64BAB" w:rsidP="00B64BAB">
      <w:r w:rsidRPr="00D75C5B">
        <w:rPr>
          <w:b/>
          <w:bCs/>
        </w:rPr>
        <w:t xml:space="preserve">More Than 40% of Children Served Will Have Meaningful Improvement </w:t>
      </w:r>
      <w:proofErr w:type="gramStart"/>
      <w:r w:rsidRPr="00D75C5B">
        <w:rPr>
          <w:b/>
          <w:bCs/>
        </w:rPr>
        <w:t>In</w:t>
      </w:r>
      <w:proofErr w:type="gramEnd"/>
      <w:r w:rsidRPr="00D75C5B">
        <w:rPr>
          <w:b/>
          <w:bCs/>
        </w:rPr>
        <w:t xml:space="preserve"> Their Child and Adolescent Functional Assessment Scale</w:t>
      </w:r>
      <w:r w:rsidR="007A07C3" w:rsidRPr="00D75C5B">
        <w:rPr>
          <w:b/>
          <w:bCs/>
        </w:rPr>
        <w:t xml:space="preserve"> </w:t>
      </w:r>
      <w:r w:rsidRPr="00D75C5B">
        <w:rPr>
          <w:b/>
          <w:bCs/>
        </w:rPr>
        <w:t xml:space="preserve">(CAFAS)/Preschool and Early Childhood Functional Assessment Scale (PECFAS) Score: </w:t>
      </w:r>
      <w:r w:rsidRPr="00D75C5B">
        <w:t>During FY2</w:t>
      </w:r>
      <w:r w:rsidR="007430B5" w:rsidRPr="00D75C5B">
        <w:t>3Q</w:t>
      </w:r>
      <w:r w:rsidR="00483EAE" w:rsidRPr="00D75C5B">
        <w:t>4</w:t>
      </w:r>
      <w:r w:rsidRPr="00D75C5B">
        <w:t xml:space="preserve">, </w:t>
      </w:r>
      <w:r w:rsidR="00483EAE" w:rsidRPr="00D75C5B">
        <w:t>39</w:t>
      </w:r>
      <w:r w:rsidRPr="00D75C5B">
        <w:t>% of children showed meaningful improvement in their CAFAS/PECFAS scores</w:t>
      </w:r>
      <w:r w:rsidR="00483EAE" w:rsidRPr="00D75C5B">
        <w:t>, slightly below</w:t>
      </w:r>
      <w:r w:rsidRPr="00D75C5B">
        <w:t xml:space="preserve"> the goal BABH set.</w:t>
      </w:r>
      <w:r w:rsidR="00C77244" w:rsidRPr="00D75C5B">
        <w:t xml:space="preserve">  There are still some issues with the data that the clinical team is addressing.</w:t>
      </w:r>
    </w:p>
    <w:p w14:paraId="072ECD0E" w14:textId="16FF0466" w:rsidR="00B64BAB" w:rsidRPr="00D75C5B" w:rsidRDefault="00B64BAB" w:rsidP="00B64BAB">
      <w:r w:rsidRPr="00D75C5B">
        <w:t xml:space="preserve">  </w:t>
      </w:r>
    </w:p>
    <w:p w14:paraId="35C5121A" w14:textId="15AB2C73" w:rsidR="007032DC" w:rsidRPr="00D75C5B" w:rsidRDefault="007032DC" w:rsidP="007032DC">
      <w:r w:rsidRPr="00D75C5B">
        <w:rPr>
          <w:b/>
          <w:bCs/>
        </w:rPr>
        <w:t xml:space="preserve">Autism Outcomes:  </w:t>
      </w:r>
      <w:r w:rsidRPr="00D75C5B">
        <w:t xml:space="preserve">Applied Behavior Analysis (ABA) monthly summary reports and </w:t>
      </w:r>
      <w:proofErr w:type="gramStart"/>
      <w:r w:rsidRPr="00D75C5B">
        <w:t>six month</w:t>
      </w:r>
      <w:proofErr w:type="gramEnd"/>
      <w:r w:rsidRPr="00D75C5B">
        <w:t xml:space="preserve"> assessments have been added to the Phoenix System.  BABH staff are exploring ways to utilize these electronic forms to gather data elements to determine outcomes.</w:t>
      </w:r>
    </w:p>
    <w:p w14:paraId="7CAE71CA" w14:textId="77777777" w:rsidR="00801039" w:rsidRPr="00D75C5B" w:rsidRDefault="00801039" w:rsidP="007032DC"/>
    <w:p w14:paraId="51D810A1" w14:textId="78E371D6" w:rsidR="007032DC" w:rsidRPr="00D75C5B" w:rsidRDefault="007032DC" w:rsidP="007032DC">
      <w:pPr>
        <w:rPr>
          <w:rFonts w:cstheme="minorHAnsi"/>
        </w:rPr>
      </w:pPr>
      <w:r w:rsidRPr="00D75C5B">
        <w:rPr>
          <w:rFonts w:cstheme="minorHAnsi"/>
          <w:b/>
          <w:bCs/>
        </w:rPr>
        <w:t xml:space="preserve">Quality of Care Record Reviews- Services Are Written </w:t>
      </w:r>
      <w:proofErr w:type="gramStart"/>
      <w:r w:rsidRPr="00D75C5B">
        <w:rPr>
          <w:rFonts w:cstheme="minorHAnsi"/>
          <w:b/>
          <w:bCs/>
        </w:rPr>
        <w:t>In</w:t>
      </w:r>
      <w:proofErr w:type="gramEnd"/>
      <w:r w:rsidRPr="00D75C5B">
        <w:rPr>
          <w:rFonts w:cstheme="minorHAnsi"/>
          <w:b/>
          <w:bCs/>
        </w:rPr>
        <w:t xml:space="preserve"> The Plan of Service Are Delivered At The Consistency Identified:  </w:t>
      </w:r>
      <w:r w:rsidRPr="00D75C5B">
        <w:rPr>
          <w:rFonts w:cstheme="minorHAnsi"/>
        </w:rPr>
        <w:t>9</w:t>
      </w:r>
      <w:r w:rsidR="008D5812" w:rsidRPr="00D75C5B">
        <w:rPr>
          <w:rFonts w:cstheme="minorHAnsi"/>
        </w:rPr>
        <w:t>7</w:t>
      </w:r>
      <w:r w:rsidRPr="00D75C5B">
        <w:rPr>
          <w:rFonts w:cstheme="minorHAnsi"/>
        </w:rPr>
        <w:t>% of the records reviewed during FY2</w:t>
      </w:r>
      <w:r w:rsidR="00590525" w:rsidRPr="00D75C5B">
        <w:rPr>
          <w:rFonts w:cstheme="minorHAnsi"/>
        </w:rPr>
        <w:t>3Q</w:t>
      </w:r>
      <w:r w:rsidR="008D5812" w:rsidRPr="00D75C5B">
        <w:rPr>
          <w:rFonts w:cstheme="minorHAnsi"/>
        </w:rPr>
        <w:t>4</w:t>
      </w:r>
      <w:r w:rsidRPr="00D75C5B">
        <w:rPr>
          <w:rFonts w:cstheme="minorHAnsi"/>
        </w:rPr>
        <w:t xml:space="preserve"> received the level of services that were written in the plan which meets the 75% standard set by BABH.</w:t>
      </w:r>
      <w:r w:rsidR="008D5812" w:rsidRPr="00D75C5B">
        <w:rPr>
          <w:rFonts w:cstheme="minorHAnsi"/>
        </w:rPr>
        <w:t xml:space="preserve"> However, there were findings from the MSHN Delegated Managed Care audit that did not demonstrate this </w:t>
      </w:r>
      <w:proofErr w:type="gramStart"/>
      <w:r w:rsidR="008D5812" w:rsidRPr="00D75C5B">
        <w:rPr>
          <w:rFonts w:cstheme="minorHAnsi"/>
        </w:rPr>
        <w:t>high</w:t>
      </w:r>
      <w:proofErr w:type="gramEnd"/>
      <w:r w:rsidR="008D5812" w:rsidRPr="00D75C5B">
        <w:rPr>
          <w:rFonts w:cstheme="minorHAnsi"/>
        </w:rPr>
        <w:t xml:space="preserve"> of compliance. Quality Staff are planning to provide more guidance and detail about this question to staff about this question in the </w:t>
      </w:r>
      <w:proofErr w:type="gramStart"/>
      <w:r w:rsidR="008D5812" w:rsidRPr="00D75C5B">
        <w:rPr>
          <w:rFonts w:cstheme="minorHAnsi"/>
        </w:rPr>
        <w:t>Quality of Care</w:t>
      </w:r>
      <w:proofErr w:type="gramEnd"/>
      <w:r w:rsidR="008D5812" w:rsidRPr="00D75C5B">
        <w:rPr>
          <w:rFonts w:cstheme="minorHAnsi"/>
        </w:rPr>
        <w:t xml:space="preserve"> Record Review process to get a more accurate compliance rate. </w:t>
      </w:r>
    </w:p>
    <w:p w14:paraId="33350A33" w14:textId="77777777" w:rsidR="00801039" w:rsidRPr="00D75C5B" w:rsidRDefault="00801039" w:rsidP="007032DC">
      <w:pPr>
        <w:rPr>
          <w:rFonts w:cstheme="minorHAnsi"/>
          <w:b/>
          <w:bCs/>
        </w:rPr>
      </w:pPr>
    </w:p>
    <w:p w14:paraId="6902C95A" w14:textId="3459F0E9" w:rsidR="007032DC" w:rsidRPr="00D75C5B" w:rsidRDefault="007032DC" w:rsidP="007032DC">
      <w:pPr>
        <w:rPr>
          <w:rFonts w:cstheme="minorHAnsi"/>
        </w:rPr>
      </w:pPr>
      <w:r w:rsidRPr="00D75C5B">
        <w:rPr>
          <w:rFonts w:cstheme="minorHAnsi"/>
          <w:b/>
          <w:bCs/>
        </w:rPr>
        <w:t xml:space="preserve">Quality of Care Record Reviews- All Services Authorized </w:t>
      </w:r>
      <w:proofErr w:type="gramStart"/>
      <w:r w:rsidRPr="00D75C5B">
        <w:rPr>
          <w:rFonts w:cstheme="minorHAnsi"/>
          <w:b/>
          <w:bCs/>
        </w:rPr>
        <w:t>In</w:t>
      </w:r>
      <w:proofErr w:type="gramEnd"/>
      <w:r w:rsidRPr="00D75C5B">
        <w:rPr>
          <w:rFonts w:cstheme="minorHAnsi"/>
          <w:b/>
          <w:bCs/>
        </w:rPr>
        <w:t xml:space="preserve"> The Plan of Service Are Identified Within the Goals/Objectives of the Plan of Service:  </w:t>
      </w:r>
      <w:r w:rsidR="00E5429A" w:rsidRPr="00D75C5B">
        <w:rPr>
          <w:rFonts w:cstheme="minorHAnsi"/>
        </w:rPr>
        <w:t>9</w:t>
      </w:r>
      <w:r w:rsidR="008D5812" w:rsidRPr="00D75C5B">
        <w:rPr>
          <w:rFonts w:cstheme="minorHAnsi"/>
        </w:rPr>
        <w:t>9</w:t>
      </w:r>
      <w:r w:rsidRPr="00D75C5B">
        <w:rPr>
          <w:rFonts w:cstheme="minorHAnsi"/>
        </w:rPr>
        <w:t>% of the records reviewed during FY2</w:t>
      </w:r>
      <w:r w:rsidR="00E5429A" w:rsidRPr="00D75C5B">
        <w:rPr>
          <w:rFonts w:cstheme="minorHAnsi"/>
        </w:rPr>
        <w:t>3Q</w:t>
      </w:r>
      <w:r w:rsidR="008D5812" w:rsidRPr="00D75C5B">
        <w:rPr>
          <w:rFonts w:cstheme="minorHAnsi"/>
        </w:rPr>
        <w:t>4</w:t>
      </w:r>
      <w:r w:rsidRPr="00D75C5B">
        <w:rPr>
          <w:rFonts w:cstheme="minorHAnsi"/>
        </w:rPr>
        <w:t xml:space="preserve"> had the services identified appropriately to match the services authorized which meets the 75% standard set by BABH.</w:t>
      </w:r>
    </w:p>
    <w:p w14:paraId="4EC90D83" w14:textId="77777777" w:rsidR="00801039" w:rsidRPr="00D75C5B" w:rsidRDefault="00801039" w:rsidP="007032DC">
      <w:pPr>
        <w:rPr>
          <w:rFonts w:cstheme="minorHAnsi"/>
          <w:b/>
          <w:bCs/>
        </w:rPr>
      </w:pPr>
    </w:p>
    <w:p w14:paraId="2AF36BDF" w14:textId="73B5CCA7" w:rsidR="007032DC" w:rsidRPr="00D75C5B" w:rsidRDefault="007032DC" w:rsidP="007032DC">
      <w:pPr>
        <w:rPr>
          <w:rFonts w:cstheme="minorHAnsi"/>
        </w:rPr>
      </w:pPr>
      <w:r w:rsidRPr="00D75C5B">
        <w:rPr>
          <w:rFonts w:cstheme="minorHAnsi"/>
          <w:b/>
          <w:bCs/>
        </w:rPr>
        <w:t xml:space="preserve">Develop Quarterly Reports to Increase the Quality Report and Outcomes Related </w:t>
      </w:r>
      <w:proofErr w:type="gramStart"/>
      <w:r w:rsidRPr="00D75C5B">
        <w:rPr>
          <w:rFonts w:cstheme="minorHAnsi"/>
          <w:b/>
          <w:bCs/>
        </w:rPr>
        <w:t>To</w:t>
      </w:r>
      <w:proofErr w:type="gramEnd"/>
      <w:r w:rsidRPr="00D75C5B">
        <w:rPr>
          <w:rFonts w:cstheme="minorHAnsi"/>
          <w:b/>
          <w:bCs/>
        </w:rPr>
        <w:t xml:space="preserve"> The Level of Care Utilization System (LOCUS): </w:t>
      </w:r>
      <w:r w:rsidRPr="00D75C5B">
        <w:rPr>
          <w:rFonts w:cstheme="minorHAnsi"/>
        </w:rPr>
        <w:t>BABH has chosen to focus on other quality and outcome activities such as the performance indicators due to the external reporting requirements that are connected to the performance indicators.</w:t>
      </w:r>
    </w:p>
    <w:p w14:paraId="7A321A57" w14:textId="49CD7F66" w:rsidR="002E6EA4" w:rsidRPr="00D75C5B" w:rsidRDefault="007032DC" w:rsidP="006206B0">
      <w:pPr>
        <w:jc w:val="center"/>
        <w:rPr>
          <w:b/>
          <w:bCs/>
          <w:sz w:val="28"/>
          <w:szCs w:val="28"/>
          <w:u w:val="single"/>
        </w:rPr>
      </w:pPr>
      <w:r w:rsidRPr="00D75C5B">
        <w:rPr>
          <w:b/>
          <w:bCs/>
          <w:sz w:val="28"/>
          <w:szCs w:val="28"/>
          <w:u w:val="single"/>
        </w:rPr>
        <w:lastRenderedPageBreak/>
        <w:t>ACCESS TO CARE AND UTILIZATION MANAGEMENT</w:t>
      </w:r>
    </w:p>
    <w:p w14:paraId="77D6BDBE" w14:textId="7918AEBA" w:rsidR="00762AB5" w:rsidRPr="00D75C5B" w:rsidRDefault="00DC3377" w:rsidP="009D46E6">
      <w:pPr>
        <w:rPr>
          <w:rFonts w:cstheme="minorHAnsi"/>
        </w:rPr>
      </w:pPr>
      <w:r w:rsidRPr="00D75C5B">
        <w:rPr>
          <w:noProof/>
        </w:rPr>
        <w:drawing>
          <wp:anchor distT="0" distB="0" distL="114300" distR="114300" simplePos="0" relativeHeight="251718656" behindDoc="1" locked="0" layoutInCell="1" allowOverlap="1" wp14:anchorId="42050350" wp14:editId="236117B0">
            <wp:simplePos x="0" y="0"/>
            <wp:positionH relativeFrom="column">
              <wp:posOffset>3108960</wp:posOffset>
            </wp:positionH>
            <wp:positionV relativeFrom="paragraph">
              <wp:posOffset>13970</wp:posOffset>
            </wp:positionV>
            <wp:extent cx="3893820" cy="2354580"/>
            <wp:effectExtent l="0" t="0" r="0" b="7620"/>
            <wp:wrapTight wrapText="bothSides">
              <wp:wrapPolygon edited="0">
                <wp:start x="0" y="0"/>
                <wp:lineTo x="0" y="21495"/>
                <wp:lineTo x="211" y="21495"/>
                <wp:lineTo x="7397" y="21320"/>
                <wp:lineTo x="20395" y="20272"/>
                <wp:lineTo x="20395" y="19573"/>
                <wp:lineTo x="21135" y="16777"/>
                <wp:lineTo x="21346" y="14505"/>
                <wp:lineTo x="20818" y="14155"/>
                <wp:lineTo x="16063" y="13981"/>
                <wp:lineTo x="21029" y="12408"/>
                <wp:lineTo x="21029" y="12233"/>
                <wp:lineTo x="16274" y="11184"/>
                <wp:lineTo x="20290" y="10835"/>
                <wp:lineTo x="21135" y="10136"/>
                <wp:lineTo x="20184" y="8388"/>
                <wp:lineTo x="21135" y="7864"/>
                <wp:lineTo x="17859" y="5592"/>
                <wp:lineTo x="21346" y="5592"/>
                <wp:lineTo x="21452" y="2971"/>
                <wp:lineTo x="21452" y="0"/>
                <wp:lineTo x="0" y="0"/>
              </wp:wrapPolygon>
            </wp:wrapTight>
            <wp:docPr id="3364095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382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63" w:rsidRPr="00D75C5B">
        <w:rPr>
          <w:b/>
          <w:bCs/>
        </w:rPr>
        <w:t xml:space="preserve">Audited Services with Proper Documentation for Encounters Billed: </w:t>
      </w:r>
      <w:r w:rsidR="0016603C" w:rsidRPr="00D75C5B">
        <w:rPr>
          <w:rFonts w:cstheme="minorHAnsi"/>
        </w:rPr>
        <w:t>All ancillary services reviewed during FY23Q3 and FY23Q4</w:t>
      </w:r>
      <w:r w:rsidR="009D46E6" w:rsidRPr="00D75C5B">
        <w:rPr>
          <w:rFonts w:cstheme="minorHAnsi"/>
        </w:rPr>
        <w:t xml:space="preserve"> scored above the 95% standard.</w:t>
      </w:r>
      <w:r w:rsidR="00762AB5" w:rsidRPr="00D75C5B">
        <w:rPr>
          <w:rFonts w:cstheme="minorHAnsi"/>
        </w:rPr>
        <w:t xml:space="preserve"> These reviews included specialized residential, vocational, and community living support providers.</w:t>
      </w:r>
      <w:r w:rsidR="0016603C" w:rsidRPr="00D75C5B">
        <w:rPr>
          <w:rFonts w:cstheme="minorHAnsi"/>
        </w:rPr>
        <w:t xml:space="preserve"> There was a total of 9,883 claims reviewed with only 114 errors resulting in a 98.8% compliance rate. </w:t>
      </w:r>
      <w:r w:rsidR="009D46E6" w:rsidRPr="00D75C5B">
        <w:rPr>
          <w:rFonts w:cstheme="minorHAnsi"/>
        </w:rPr>
        <w:t xml:space="preserve">The most common </w:t>
      </w:r>
      <w:r w:rsidR="00762AB5" w:rsidRPr="00D75C5B">
        <w:rPr>
          <w:rFonts w:cstheme="minorHAnsi"/>
        </w:rPr>
        <w:t>finding was that the documentation did not contain enough detail to meet the Medicaid standard for the service billed</w:t>
      </w:r>
      <w:r w:rsidR="009D46E6" w:rsidRPr="00D75C5B">
        <w:rPr>
          <w:rFonts w:cstheme="minorHAnsi"/>
        </w:rPr>
        <w:t>.</w:t>
      </w:r>
    </w:p>
    <w:p w14:paraId="490B6946" w14:textId="3601A2FE" w:rsidR="009D46E6" w:rsidRPr="00D75C5B" w:rsidRDefault="009D46E6" w:rsidP="009D46E6">
      <w:pPr>
        <w:rPr>
          <w:rFonts w:ascii="Calibri" w:hAnsi="Calibri"/>
          <w:szCs w:val="24"/>
        </w:rPr>
      </w:pPr>
      <w:r w:rsidRPr="00D75C5B">
        <w:rPr>
          <w:rFonts w:cstheme="minorHAnsi"/>
        </w:rPr>
        <w:t xml:space="preserve"> </w:t>
      </w:r>
    </w:p>
    <w:p w14:paraId="4E198AD0" w14:textId="55D27D18" w:rsidR="002E6EA4" w:rsidRPr="00D75C5B" w:rsidRDefault="002E6EA4" w:rsidP="00DD7163"/>
    <w:p w14:paraId="61D49B65" w14:textId="1D8D4D50" w:rsidR="00BC02D2" w:rsidRPr="00D75C5B" w:rsidRDefault="00BC02D2" w:rsidP="00DD7163">
      <w:pPr>
        <w:rPr>
          <w:rFonts w:cstheme="minorHAnsi"/>
          <w:b/>
          <w:bCs/>
        </w:rPr>
      </w:pPr>
    </w:p>
    <w:p w14:paraId="26BE9EFA" w14:textId="1A0CFDCB" w:rsidR="00DD7163" w:rsidRPr="00D75C5B" w:rsidRDefault="00DD7163" w:rsidP="00DD7163">
      <w:pPr>
        <w:rPr>
          <w:rFonts w:cstheme="minorHAnsi"/>
        </w:rPr>
      </w:pPr>
      <w:r w:rsidRPr="00D75C5B">
        <w:rPr>
          <w:rFonts w:cstheme="minorHAnsi"/>
          <w:b/>
          <w:bCs/>
        </w:rPr>
        <w:t xml:space="preserve">Increase Medicaid Event Verification (MEV) Reviews: </w:t>
      </w:r>
      <w:r w:rsidR="005B654F" w:rsidRPr="00D75C5B">
        <w:t xml:space="preserve">BABH increased the services audited </w:t>
      </w:r>
      <w:r w:rsidR="001873BB" w:rsidRPr="00D75C5B">
        <w:t>during FY23</w:t>
      </w:r>
      <w:r w:rsidR="005B654F" w:rsidRPr="00D75C5B">
        <w:t xml:space="preserve"> by completing reviews </w:t>
      </w:r>
      <w:r w:rsidR="00BC02D2" w:rsidRPr="00D75C5B">
        <w:t>of all specialized residential</w:t>
      </w:r>
      <w:r w:rsidR="001873BB" w:rsidRPr="00D75C5B">
        <w:t>, community living support, and vocational providers</w:t>
      </w:r>
      <w:r w:rsidR="00BC02D2" w:rsidRPr="00D75C5B">
        <w:t>.  BABH also updated the MEV policy and procedure to include more frequent reviews of services determined to be higher risk such as community living supports (CLS).</w:t>
      </w:r>
    </w:p>
    <w:p w14:paraId="2EE00001" w14:textId="774581E1" w:rsidR="00EB1648" w:rsidRPr="00D75C5B" w:rsidRDefault="00EB1648" w:rsidP="00C93E2E">
      <w:pPr>
        <w:spacing w:line="240" w:lineRule="auto"/>
        <w:rPr>
          <w:b/>
          <w:bCs/>
        </w:rPr>
      </w:pPr>
      <w:r w:rsidRPr="00D75C5B">
        <w:rPr>
          <w:noProof/>
        </w:rPr>
        <w:drawing>
          <wp:anchor distT="0" distB="0" distL="114300" distR="114300" simplePos="0" relativeHeight="251719680" behindDoc="1" locked="0" layoutInCell="1" allowOverlap="1" wp14:anchorId="4573A0C6" wp14:editId="50233794">
            <wp:simplePos x="0" y="0"/>
            <wp:positionH relativeFrom="column">
              <wp:posOffset>-285750</wp:posOffset>
            </wp:positionH>
            <wp:positionV relativeFrom="paragraph">
              <wp:posOffset>198120</wp:posOffset>
            </wp:positionV>
            <wp:extent cx="4316095" cy="2654300"/>
            <wp:effectExtent l="0" t="0" r="8255" b="0"/>
            <wp:wrapTight wrapText="bothSides">
              <wp:wrapPolygon edited="0">
                <wp:start x="0" y="0"/>
                <wp:lineTo x="0" y="21393"/>
                <wp:lineTo x="191" y="21393"/>
                <wp:lineTo x="10964" y="21238"/>
                <wp:lineTo x="21546" y="20618"/>
                <wp:lineTo x="21546" y="0"/>
                <wp:lineTo x="0" y="0"/>
              </wp:wrapPolygon>
            </wp:wrapTight>
            <wp:docPr id="11001094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6095" cy="265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7552" w14:textId="3355E097" w:rsidR="00DD7163" w:rsidRPr="00D75C5B" w:rsidRDefault="009371F7" w:rsidP="00C93E2E">
      <w:pPr>
        <w:spacing w:line="240" w:lineRule="auto"/>
        <w:rPr>
          <w:b/>
          <w:bCs/>
        </w:rPr>
      </w:pPr>
      <w:r w:rsidRPr="00D75C5B">
        <w:rPr>
          <w:b/>
          <w:bCs/>
        </w:rPr>
        <w:t>C</w:t>
      </w:r>
      <w:r w:rsidR="00DD7163" w:rsidRPr="00D75C5B">
        <w:rPr>
          <w:b/>
          <w:bCs/>
        </w:rPr>
        <w:t xml:space="preserve">opy of Plan of Service Offered Within 15 Days of Planning Meeting: </w:t>
      </w:r>
      <w:r w:rsidR="004A4551" w:rsidRPr="00D75C5B">
        <w:t xml:space="preserve">During FY23Q2, Quality Staff started tracking all plans of service that occurred during the reporting period. This allowed for a more accurate depiction of the compliance around this measure. It was determined that staff are not always using the electronic health record completely so there is missing data and blanks. Quality Staff are working with providers to remind staff to complete all data elements related to the plan of service. One provider has not been using the data field </w:t>
      </w:r>
      <w:proofErr w:type="gramStart"/>
      <w:r w:rsidR="004A4551" w:rsidRPr="00D75C5B">
        <w:t>correctly</w:t>
      </w:r>
      <w:proofErr w:type="gramEnd"/>
      <w:r w:rsidR="004A4551" w:rsidRPr="00D75C5B">
        <w:t xml:space="preserve"> that resulted in the low compliance rate. Extra training and education </w:t>
      </w:r>
      <w:proofErr w:type="gramStart"/>
      <w:r w:rsidR="004A4551" w:rsidRPr="00D75C5B">
        <w:t>has</w:t>
      </w:r>
      <w:proofErr w:type="gramEnd"/>
      <w:r w:rsidR="004A4551" w:rsidRPr="00D75C5B">
        <w:t xml:space="preserve"> been provided.</w:t>
      </w:r>
    </w:p>
    <w:p w14:paraId="5D082C7E" w14:textId="77777777" w:rsidR="00F3224F" w:rsidRPr="00D75C5B" w:rsidRDefault="00F3224F" w:rsidP="00282C7A">
      <w:pPr>
        <w:rPr>
          <w:b/>
          <w:bCs/>
        </w:rPr>
      </w:pPr>
    </w:p>
    <w:p w14:paraId="30C9A04D" w14:textId="1650714F" w:rsidR="008A1262" w:rsidRPr="00D75C5B" w:rsidRDefault="00EB1648" w:rsidP="00282C7A">
      <w:r w:rsidRPr="00D75C5B">
        <w:rPr>
          <w:noProof/>
        </w:rPr>
        <w:lastRenderedPageBreak/>
        <w:drawing>
          <wp:anchor distT="0" distB="0" distL="114300" distR="114300" simplePos="0" relativeHeight="251720704" behindDoc="1" locked="0" layoutInCell="1" allowOverlap="1" wp14:anchorId="001376D8" wp14:editId="125ABC56">
            <wp:simplePos x="0" y="0"/>
            <wp:positionH relativeFrom="column">
              <wp:posOffset>0</wp:posOffset>
            </wp:positionH>
            <wp:positionV relativeFrom="paragraph">
              <wp:posOffset>934720</wp:posOffset>
            </wp:positionV>
            <wp:extent cx="6858000" cy="2667000"/>
            <wp:effectExtent l="0" t="0" r="0" b="0"/>
            <wp:wrapTight wrapText="bothSides">
              <wp:wrapPolygon edited="0">
                <wp:start x="0" y="0"/>
                <wp:lineTo x="0" y="21446"/>
                <wp:lineTo x="10860" y="21446"/>
                <wp:lineTo x="13440" y="21291"/>
                <wp:lineTo x="20940" y="20211"/>
                <wp:lineTo x="20880" y="19749"/>
                <wp:lineTo x="21120" y="17280"/>
                <wp:lineTo x="21240" y="15120"/>
                <wp:lineTo x="20760" y="14966"/>
                <wp:lineTo x="11880" y="14811"/>
                <wp:lineTo x="20880" y="13269"/>
                <wp:lineTo x="21180" y="13114"/>
                <wp:lineTo x="20400" y="12343"/>
                <wp:lineTo x="20940" y="11880"/>
                <wp:lineTo x="21060" y="10954"/>
                <wp:lineTo x="20700" y="9874"/>
                <wp:lineTo x="20940" y="9874"/>
                <wp:lineTo x="21060" y="8640"/>
                <wp:lineTo x="20880" y="7406"/>
                <wp:lineTo x="21180" y="6480"/>
                <wp:lineTo x="19020" y="6017"/>
                <wp:lineTo x="10860" y="4937"/>
                <wp:lineTo x="21480" y="4937"/>
                <wp:lineTo x="21540" y="2777"/>
                <wp:lineTo x="20820" y="2469"/>
                <wp:lineTo x="21540" y="1851"/>
                <wp:lineTo x="21540" y="0"/>
                <wp:lineTo x="0" y="0"/>
              </wp:wrapPolygon>
            </wp:wrapTight>
            <wp:docPr id="16862846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37F" w:rsidRPr="00D75C5B">
        <w:rPr>
          <w:b/>
          <w:bCs/>
        </w:rPr>
        <w:t>Michigan Mission Based Performance Indicator System (MMBPIS):  Indicator 1 (The percent receiving a pre-admission screening for psychiatric inpatient care for whom the disposition was completed within 3 hours.)</w:t>
      </w:r>
      <w:r w:rsidR="00DD53CF" w:rsidRPr="00D75C5B">
        <w:rPr>
          <w:b/>
          <w:bCs/>
        </w:rPr>
        <w:t xml:space="preserve">: </w:t>
      </w:r>
      <w:r w:rsidR="00860495" w:rsidRPr="00D75C5B">
        <w:t xml:space="preserve">BABH </w:t>
      </w:r>
      <w:r w:rsidR="003E3B3C" w:rsidRPr="00D75C5B">
        <w:t>demonstrated 100% compliance</w:t>
      </w:r>
      <w:r w:rsidR="00860495" w:rsidRPr="00D75C5B">
        <w:t xml:space="preserve"> for Indicator 1 for both children and adult populations during FY2</w:t>
      </w:r>
      <w:r w:rsidR="00187EBE" w:rsidRPr="00D75C5B">
        <w:t>3Q</w:t>
      </w:r>
      <w:r w:rsidR="00F3224F" w:rsidRPr="00D75C5B">
        <w:t>3</w:t>
      </w:r>
      <w:r w:rsidR="00343A92" w:rsidRPr="00D75C5B">
        <w:t xml:space="preserve">.  </w:t>
      </w:r>
      <w:r w:rsidR="00BD403A" w:rsidRPr="00D75C5B">
        <w:t>This was a higher rate of compliance than MSHN and MDHHS.</w:t>
      </w:r>
    </w:p>
    <w:p w14:paraId="4B1A1024" w14:textId="1936681D" w:rsidR="004879B8" w:rsidRPr="00D75C5B" w:rsidRDefault="004879B8" w:rsidP="00282C7A">
      <w:pPr>
        <w:rPr>
          <w:b/>
          <w:bCs/>
        </w:rPr>
      </w:pPr>
    </w:p>
    <w:p w14:paraId="70348AA0" w14:textId="77777777" w:rsidR="00801039" w:rsidRPr="00D75C5B" w:rsidRDefault="00801039" w:rsidP="00282C7A">
      <w:pPr>
        <w:rPr>
          <w:b/>
          <w:bCs/>
        </w:rPr>
      </w:pPr>
    </w:p>
    <w:p w14:paraId="4E19F070" w14:textId="77777777" w:rsidR="00801039" w:rsidRPr="00D75C5B" w:rsidRDefault="00801039" w:rsidP="00282C7A">
      <w:pPr>
        <w:rPr>
          <w:b/>
          <w:bCs/>
        </w:rPr>
      </w:pPr>
    </w:p>
    <w:p w14:paraId="62C37F1F" w14:textId="77777777" w:rsidR="00801039" w:rsidRPr="00D75C5B" w:rsidRDefault="00801039" w:rsidP="00282C7A">
      <w:pPr>
        <w:rPr>
          <w:b/>
          <w:bCs/>
        </w:rPr>
      </w:pPr>
    </w:p>
    <w:p w14:paraId="2A5C730F" w14:textId="77777777" w:rsidR="00801039" w:rsidRPr="00D75C5B" w:rsidRDefault="00801039" w:rsidP="00282C7A">
      <w:pPr>
        <w:rPr>
          <w:b/>
          <w:bCs/>
        </w:rPr>
      </w:pPr>
    </w:p>
    <w:p w14:paraId="7B7A0E91" w14:textId="77777777" w:rsidR="00801039" w:rsidRPr="00D75C5B" w:rsidRDefault="00801039" w:rsidP="00282C7A">
      <w:pPr>
        <w:rPr>
          <w:b/>
          <w:bCs/>
        </w:rPr>
      </w:pPr>
    </w:p>
    <w:p w14:paraId="1C1521A2" w14:textId="77777777" w:rsidR="00801039" w:rsidRPr="00D75C5B" w:rsidRDefault="00801039" w:rsidP="00282C7A">
      <w:pPr>
        <w:rPr>
          <w:b/>
          <w:bCs/>
        </w:rPr>
      </w:pPr>
    </w:p>
    <w:p w14:paraId="3BDFA8EF" w14:textId="77777777" w:rsidR="00801039" w:rsidRPr="00D75C5B" w:rsidRDefault="00801039" w:rsidP="00282C7A">
      <w:pPr>
        <w:rPr>
          <w:b/>
          <w:bCs/>
        </w:rPr>
      </w:pPr>
    </w:p>
    <w:p w14:paraId="2FC12946" w14:textId="77777777" w:rsidR="00801039" w:rsidRPr="00D75C5B" w:rsidRDefault="00801039" w:rsidP="00282C7A">
      <w:pPr>
        <w:rPr>
          <w:b/>
          <w:bCs/>
        </w:rPr>
      </w:pPr>
    </w:p>
    <w:p w14:paraId="19C8FBFC" w14:textId="77777777" w:rsidR="00801039" w:rsidRPr="00D75C5B" w:rsidRDefault="00801039" w:rsidP="00282C7A">
      <w:pPr>
        <w:rPr>
          <w:b/>
          <w:bCs/>
        </w:rPr>
      </w:pPr>
    </w:p>
    <w:p w14:paraId="5F2EC597" w14:textId="77777777" w:rsidR="00801039" w:rsidRPr="00D75C5B" w:rsidRDefault="00801039" w:rsidP="00282C7A">
      <w:pPr>
        <w:rPr>
          <w:b/>
          <w:bCs/>
        </w:rPr>
      </w:pPr>
    </w:p>
    <w:p w14:paraId="7DC2CA1F" w14:textId="77777777" w:rsidR="00801039" w:rsidRPr="00D75C5B" w:rsidRDefault="00801039" w:rsidP="00282C7A">
      <w:pPr>
        <w:rPr>
          <w:b/>
          <w:bCs/>
        </w:rPr>
      </w:pPr>
    </w:p>
    <w:p w14:paraId="4EED9672" w14:textId="77777777" w:rsidR="00801039" w:rsidRPr="00D75C5B" w:rsidRDefault="00801039" w:rsidP="00282C7A">
      <w:pPr>
        <w:rPr>
          <w:b/>
          <w:bCs/>
        </w:rPr>
      </w:pPr>
    </w:p>
    <w:p w14:paraId="336269A3" w14:textId="77777777" w:rsidR="00801039" w:rsidRPr="00D75C5B" w:rsidRDefault="00801039" w:rsidP="00282C7A">
      <w:pPr>
        <w:rPr>
          <w:b/>
          <w:bCs/>
        </w:rPr>
      </w:pPr>
    </w:p>
    <w:p w14:paraId="7629B62E" w14:textId="0BB17F04" w:rsidR="005D537F" w:rsidRPr="00D75C5B" w:rsidRDefault="005D537F" w:rsidP="00282C7A">
      <w:r w:rsidRPr="00D75C5B">
        <w:rPr>
          <w:b/>
          <w:bCs/>
        </w:rPr>
        <w:lastRenderedPageBreak/>
        <w:t>MMBPIS: Indicator 2 (The percent of Medicaid beneficiaries receiving a face-to-face assessment with a professional within 14 calendar days of a non-emergent request for services.)</w:t>
      </w:r>
      <w:r w:rsidR="00DD53CF" w:rsidRPr="00D75C5B">
        <w:rPr>
          <w:b/>
          <w:bCs/>
        </w:rPr>
        <w:t>:</w:t>
      </w:r>
      <w:r w:rsidR="009371F7" w:rsidRPr="00D75C5B">
        <w:rPr>
          <w:b/>
          <w:bCs/>
        </w:rPr>
        <w:t xml:space="preserve"> </w:t>
      </w:r>
      <w:r w:rsidR="00DD53CF" w:rsidRPr="00D75C5B">
        <w:rPr>
          <w:b/>
          <w:bCs/>
        </w:rPr>
        <w:t xml:space="preserve"> </w:t>
      </w:r>
      <w:r w:rsidR="0021409F" w:rsidRPr="00D75C5B">
        <w:t xml:space="preserve">BABH </w:t>
      </w:r>
      <w:r w:rsidR="00D87906" w:rsidRPr="00D75C5B">
        <w:t xml:space="preserve">has higher or consistent compliance rates for all four populations when compared to the MSHN region and </w:t>
      </w:r>
      <w:r w:rsidR="004D3130" w:rsidRPr="00D75C5B">
        <w:t>the Michigan Department of Health and Human Services (MDHHS)</w:t>
      </w:r>
      <w:r w:rsidR="00B24B0D" w:rsidRPr="00D75C5B">
        <w:t>.  BABH continues to make concerted efforts to improve engaging consumers in services</w:t>
      </w:r>
      <w:r w:rsidR="004879B8" w:rsidRPr="00D75C5B">
        <w:t>.</w:t>
      </w:r>
    </w:p>
    <w:p w14:paraId="3CB49F55" w14:textId="4DBDB5FE" w:rsidR="001B5FFD" w:rsidRPr="00D75C5B" w:rsidRDefault="00EB1648" w:rsidP="00282C7A">
      <w:pPr>
        <w:rPr>
          <w:b/>
          <w:bCs/>
        </w:rPr>
      </w:pPr>
      <w:r w:rsidRPr="00D75C5B">
        <w:rPr>
          <w:noProof/>
        </w:rPr>
        <w:drawing>
          <wp:inline distT="0" distB="0" distL="0" distR="0" wp14:anchorId="386FE4B1" wp14:editId="776678F8">
            <wp:extent cx="6858000" cy="5242560"/>
            <wp:effectExtent l="0" t="0" r="0" b="0"/>
            <wp:docPr id="10267919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5242560"/>
                    </a:xfrm>
                    <a:prstGeom prst="rect">
                      <a:avLst/>
                    </a:prstGeom>
                    <a:noFill/>
                    <a:ln>
                      <a:noFill/>
                    </a:ln>
                  </pic:spPr>
                </pic:pic>
              </a:graphicData>
            </a:graphic>
          </wp:inline>
        </w:drawing>
      </w:r>
    </w:p>
    <w:p w14:paraId="48071C12" w14:textId="508C69B3" w:rsidR="002B0EB6" w:rsidRPr="00D75C5B" w:rsidRDefault="002B0EB6" w:rsidP="00282C7A">
      <w:pPr>
        <w:rPr>
          <w:b/>
          <w:bCs/>
        </w:rPr>
      </w:pPr>
    </w:p>
    <w:p w14:paraId="1142EEC3" w14:textId="38AD603A" w:rsidR="001B5FFD" w:rsidRPr="00D75C5B" w:rsidRDefault="001B5FFD" w:rsidP="00282C7A">
      <w:pPr>
        <w:rPr>
          <w:b/>
          <w:bCs/>
        </w:rPr>
      </w:pPr>
    </w:p>
    <w:p w14:paraId="08936CBF" w14:textId="77777777" w:rsidR="003B5C06" w:rsidRPr="00D75C5B" w:rsidRDefault="003B5C06" w:rsidP="00282C7A">
      <w:pPr>
        <w:rPr>
          <w:b/>
          <w:bCs/>
        </w:rPr>
      </w:pPr>
    </w:p>
    <w:p w14:paraId="43A75123" w14:textId="77777777" w:rsidR="003B5C06" w:rsidRPr="00D75C5B" w:rsidRDefault="003B5C06" w:rsidP="00282C7A">
      <w:pPr>
        <w:rPr>
          <w:b/>
          <w:bCs/>
        </w:rPr>
      </w:pPr>
    </w:p>
    <w:p w14:paraId="32AD1E90" w14:textId="77777777" w:rsidR="003B5C06" w:rsidRPr="00D75C5B" w:rsidRDefault="003B5C06" w:rsidP="00282C7A">
      <w:pPr>
        <w:rPr>
          <w:b/>
          <w:bCs/>
        </w:rPr>
      </w:pPr>
    </w:p>
    <w:p w14:paraId="64602849" w14:textId="77777777" w:rsidR="00625757" w:rsidRPr="00D75C5B" w:rsidRDefault="00625757" w:rsidP="00282C7A">
      <w:pPr>
        <w:rPr>
          <w:b/>
          <w:bCs/>
        </w:rPr>
      </w:pPr>
    </w:p>
    <w:p w14:paraId="3527207D" w14:textId="6D0A66C5" w:rsidR="002B0EB6" w:rsidRPr="00D75C5B" w:rsidRDefault="005D537F" w:rsidP="00282C7A">
      <w:r w:rsidRPr="00D75C5B">
        <w:rPr>
          <w:b/>
          <w:bCs/>
        </w:rPr>
        <w:lastRenderedPageBreak/>
        <w:t>MMBPIS: Indicator 3 (The percent of Medicaid beneficiaries starting any needed ongoing service within 14 days of a non-emergency assessment with a professional.)</w:t>
      </w:r>
      <w:r w:rsidR="00DD53CF" w:rsidRPr="00D75C5B">
        <w:rPr>
          <w:b/>
          <w:bCs/>
        </w:rPr>
        <w:t xml:space="preserve">: </w:t>
      </w:r>
      <w:r w:rsidR="00A652BD" w:rsidRPr="00D75C5B">
        <w:t xml:space="preserve">BABH </w:t>
      </w:r>
      <w:r w:rsidR="00544E7B" w:rsidRPr="00D75C5B">
        <w:t>had a de</w:t>
      </w:r>
      <w:r w:rsidR="00E5308C" w:rsidRPr="00D75C5B">
        <w:t xml:space="preserve">crease </w:t>
      </w:r>
      <w:r w:rsidR="00A652BD" w:rsidRPr="00D75C5B">
        <w:t xml:space="preserve">in compliance </w:t>
      </w:r>
      <w:r w:rsidR="00E5308C" w:rsidRPr="00D75C5B">
        <w:t>for FY2</w:t>
      </w:r>
      <w:r w:rsidR="007805D3" w:rsidRPr="00D75C5B">
        <w:t>3Q</w:t>
      </w:r>
      <w:r w:rsidR="00E52BE6" w:rsidRPr="00D75C5B">
        <w:t>3</w:t>
      </w:r>
      <w:r w:rsidR="00E5308C" w:rsidRPr="00D75C5B">
        <w:t xml:space="preserve"> for</w:t>
      </w:r>
      <w:r w:rsidR="00E52BE6" w:rsidRPr="00D75C5B">
        <w:t xml:space="preserve"> the MI-Adult </w:t>
      </w:r>
      <w:proofErr w:type="gramStart"/>
      <w:r w:rsidR="00E52BE6" w:rsidRPr="00D75C5B">
        <w:t>population, but</w:t>
      </w:r>
      <w:proofErr w:type="gramEnd"/>
      <w:r w:rsidR="00E52BE6" w:rsidRPr="00D75C5B">
        <w:t xml:space="preserve"> remains consistent with compliance levels compared to MSHN and </w:t>
      </w:r>
      <w:r w:rsidR="004D3130" w:rsidRPr="00D75C5B">
        <w:t>MDHHS</w:t>
      </w:r>
      <w:r w:rsidR="00E5308C" w:rsidRPr="00D75C5B">
        <w:t>.</w:t>
      </w:r>
      <w:r w:rsidR="00D7711B" w:rsidRPr="00D75C5B">
        <w:t xml:space="preserve">  Most of those out of compliance were the result of consumer action.  </w:t>
      </w:r>
      <w:r w:rsidR="009A2916" w:rsidRPr="00D75C5B">
        <w:t xml:space="preserve">The decrease for the IDD-Adult population was the result of two consumers not showing up for an appointment. </w:t>
      </w:r>
      <w:r w:rsidR="00E52BE6" w:rsidRPr="00D75C5B">
        <w:t>The M</w:t>
      </w:r>
      <w:r w:rsidR="009A2916" w:rsidRPr="00D75C5B">
        <w:t>I</w:t>
      </w:r>
      <w:r w:rsidR="00E52BE6" w:rsidRPr="00D75C5B">
        <w:t>-Child and</w:t>
      </w:r>
      <w:r w:rsidR="004879B8" w:rsidRPr="00D75C5B">
        <w:t xml:space="preserve"> </w:t>
      </w:r>
      <w:r w:rsidR="007805D3" w:rsidRPr="00D75C5B">
        <w:t>DD-Child</w:t>
      </w:r>
      <w:r w:rsidR="00A836A5" w:rsidRPr="00D75C5B">
        <w:t xml:space="preserve"> population</w:t>
      </w:r>
      <w:r w:rsidR="007805D3" w:rsidRPr="00D75C5B">
        <w:t>s</w:t>
      </w:r>
      <w:r w:rsidR="00A836A5" w:rsidRPr="00D75C5B">
        <w:t xml:space="preserve"> </w:t>
      </w:r>
      <w:r w:rsidR="007805D3" w:rsidRPr="00D75C5B">
        <w:t>had an in</w:t>
      </w:r>
      <w:r w:rsidR="00FF64CA" w:rsidRPr="00D75C5B">
        <w:t>crease in compliance for FY2</w:t>
      </w:r>
      <w:r w:rsidR="007805D3" w:rsidRPr="00D75C5B">
        <w:t>3</w:t>
      </w:r>
      <w:r w:rsidR="004879B8" w:rsidRPr="00D75C5B">
        <w:t>Q</w:t>
      </w:r>
      <w:r w:rsidR="00E52BE6" w:rsidRPr="00D75C5B">
        <w:t>3</w:t>
      </w:r>
      <w:r w:rsidR="00FF64CA" w:rsidRPr="00D75C5B">
        <w:t xml:space="preserve">.  </w:t>
      </w:r>
    </w:p>
    <w:p w14:paraId="6A997FE7" w14:textId="21D4F7AA" w:rsidR="003B5C06" w:rsidRPr="00D75C5B" w:rsidRDefault="00EB1648" w:rsidP="00282C7A">
      <w:r w:rsidRPr="00D75C5B">
        <w:rPr>
          <w:noProof/>
        </w:rPr>
        <w:drawing>
          <wp:inline distT="0" distB="0" distL="0" distR="0" wp14:anchorId="2C14C3BC" wp14:editId="024AF0DE">
            <wp:extent cx="6858000" cy="3764280"/>
            <wp:effectExtent l="0" t="0" r="0" b="7620"/>
            <wp:docPr id="18641601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764280"/>
                    </a:xfrm>
                    <a:prstGeom prst="rect">
                      <a:avLst/>
                    </a:prstGeom>
                    <a:noFill/>
                    <a:ln>
                      <a:noFill/>
                    </a:ln>
                  </pic:spPr>
                </pic:pic>
              </a:graphicData>
            </a:graphic>
          </wp:inline>
        </w:drawing>
      </w:r>
    </w:p>
    <w:p w14:paraId="10BCE749" w14:textId="77777777" w:rsidR="004D3130" w:rsidRPr="00D75C5B" w:rsidRDefault="004D3130" w:rsidP="00282C7A">
      <w:pPr>
        <w:rPr>
          <w:b/>
          <w:bCs/>
        </w:rPr>
      </w:pPr>
    </w:p>
    <w:p w14:paraId="6B898AC5" w14:textId="77777777" w:rsidR="004D3130" w:rsidRPr="00D75C5B" w:rsidRDefault="004D3130" w:rsidP="00282C7A">
      <w:pPr>
        <w:rPr>
          <w:b/>
          <w:bCs/>
        </w:rPr>
      </w:pPr>
    </w:p>
    <w:p w14:paraId="36DB7D87" w14:textId="77777777" w:rsidR="004D3130" w:rsidRPr="00D75C5B" w:rsidRDefault="004D3130" w:rsidP="00282C7A">
      <w:pPr>
        <w:rPr>
          <w:b/>
          <w:bCs/>
        </w:rPr>
      </w:pPr>
    </w:p>
    <w:p w14:paraId="3DCC4FAA" w14:textId="77777777" w:rsidR="004D3130" w:rsidRPr="00D75C5B" w:rsidRDefault="004D3130" w:rsidP="00282C7A">
      <w:pPr>
        <w:rPr>
          <w:b/>
          <w:bCs/>
        </w:rPr>
      </w:pPr>
    </w:p>
    <w:p w14:paraId="7521CD1F" w14:textId="77777777" w:rsidR="004D3130" w:rsidRPr="00D75C5B" w:rsidRDefault="004D3130" w:rsidP="00282C7A">
      <w:pPr>
        <w:rPr>
          <w:b/>
          <w:bCs/>
        </w:rPr>
      </w:pPr>
    </w:p>
    <w:p w14:paraId="6D3934F0" w14:textId="77777777" w:rsidR="004D3130" w:rsidRPr="00D75C5B" w:rsidRDefault="004D3130" w:rsidP="00282C7A">
      <w:pPr>
        <w:rPr>
          <w:b/>
          <w:bCs/>
        </w:rPr>
      </w:pPr>
    </w:p>
    <w:p w14:paraId="0950837E" w14:textId="77777777" w:rsidR="004D3130" w:rsidRPr="00D75C5B" w:rsidRDefault="004D3130" w:rsidP="00282C7A">
      <w:pPr>
        <w:rPr>
          <w:b/>
          <w:bCs/>
        </w:rPr>
      </w:pPr>
    </w:p>
    <w:p w14:paraId="21651E67" w14:textId="77777777" w:rsidR="004D3130" w:rsidRPr="00D75C5B" w:rsidRDefault="004D3130" w:rsidP="00282C7A">
      <w:pPr>
        <w:rPr>
          <w:b/>
          <w:bCs/>
        </w:rPr>
      </w:pPr>
    </w:p>
    <w:p w14:paraId="63DE40C6" w14:textId="77777777" w:rsidR="004D3130" w:rsidRPr="00D75C5B" w:rsidRDefault="004D3130" w:rsidP="00282C7A">
      <w:pPr>
        <w:rPr>
          <w:b/>
          <w:bCs/>
        </w:rPr>
      </w:pPr>
    </w:p>
    <w:p w14:paraId="37F88CD7" w14:textId="408B8862" w:rsidR="005D537F" w:rsidRPr="00D75C5B" w:rsidRDefault="001B5FFD" w:rsidP="00282C7A">
      <w:pPr>
        <w:rPr>
          <w:b/>
          <w:bCs/>
        </w:rPr>
      </w:pPr>
      <w:r w:rsidRPr="00D75C5B">
        <w:rPr>
          <w:b/>
          <w:bCs/>
        </w:rPr>
        <w:lastRenderedPageBreak/>
        <w:t>M</w:t>
      </w:r>
      <w:r w:rsidR="005D537F" w:rsidRPr="00D75C5B">
        <w:rPr>
          <w:b/>
          <w:bCs/>
        </w:rPr>
        <w:t>MBPIS: Indicator 4 (The percent of discharges from a psychiatric inpatient unit who are seen for follow-up within seven days.)</w:t>
      </w:r>
      <w:r w:rsidR="00DD53CF" w:rsidRPr="00D75C5B">
        <w:rPr>
          <w:b/>
          <w:bCs/>
        </w:rPr>
        <w:t xml:space="preserve">: </w:t>
      </w:r>
      <w:r w:rsidR="00C736B2" w:rsidRPr="00D75C5B">
        <w:t xml:space="preserve">The BABH Child population </w:t>
      </w:r>
      <w:r w:rsidR="00BC49CB" w:rsidRPr="00D75C5B">
        <w:t>had 100</w:t>
      </w:r>
      <w:r w:rsidR="00C736B2" w:rsidRPr="00D75C5B">
        <w:t>% compliance for FY2</w:t>
      </w:r>
      <w:r w:rsidR="00BC49CB" w:rsidRPr="00D75C5B">
        <w:t>3Q</w:t>
      </w:r>
      <w:r w:rsidR="004D3130" w:rsidRPr="00D75C5B">
        <w:t>3</w:t>
      </w:r>
      <w:r w:rsidR="002B0EB6" w:rsidRPr="00D75C5B">
        <w:t xml:space="preserve"> and </w:t>
      </w:r>
      <w:r w:rsidR="004D3130" w:rsidRPr="00D75C5B">
        <w:t>100</w:t>
      </w:r>
      <w:r w:rsidR="002B0EB6" w:rsidRPr="00D75C5B">
        <w:t xml:space="preserve">% for the BABH Adult population.  </w:t>
      </w:r>
      <w:r w:rsidR="00BC49CB" w:rsidRPr="00D75C5B">
        <w:t>Both populations were above the 95% standard</w:t>
      </w:r>
      <w:r w:rsidR="0064674F" w:rsidRPr="00D75C5B">
        <w:t xml:space="preserve"> as well as the regional and state compliance rates for FY23Q</w:t>
      </w:r>
      <w:r w:rsidR="004D3130" w:rsidRPr="00D75C5B">
        <w:t>3</w:t>
      </w:r>
      <w:r w:rsidR="0064674F" w:rsidRPr="00D75C5B">
        <w:t>.</w:t>
      </w:r>
      <w:r w:rsidR="004D3130" w:rsidRPr="00D75C5B">
        <w:t xml:space="preserve"> This is above the MSHN region and MDHHS.</w:t>
      </w:r>
    </w:p>
    <w:p w14:paraId="4D869C78" w14:textId="1EB45445" w:rsidR="003F760C" w:rsidRPr="00D75C5B" w:rsidRDefault="00EB1648" w:rsidP="00D257AB">
      <w:pPr>
        <w:spacing w:after="0"/>
        <w:rPr>
          <w:b/>
          <w:bCs/>
        </w:rPr>
      </w:pPr>
      <w:r w:rsidRPr="00D75C5B">
        <w:rPr>
          <w:noProof/>
        </w:rPr>
        <w:drawing>
          <wp:inline distT="0" distB="0" distL="0" distR="0" wp14:anchorId="1449E773" wp14:editId="728B8464">
            <wp:extent cx="6858000" cy="2247900"/>
            <wp:effectExtent l="0" t="0" r="0" b="0"/>
            <wp:docPr id="10132963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2247900"/>
                    </a:xfrm>
                    <a:prstGeom prst="rect">
                      <a:avLst/>
                    </a:prstGeom>
                    <a:noFill/>
                    <a:ln>
                      <a:noFill/>
                    </a:ln>
                  </pic:spPr>
                </pic:pic>
              </a:graphicData>
            </a:graphic>
          </wp:inline>
        </w:drawing>
      </w:r>
    </w:p>
    <w:p w14:paraId="543865ED" w14:textId="77777777" w:rsidR="00801039" w:rsidRPr="00D75C5B" w:rsidRDefault="00801039" w:rsidP="00D257AB">
      <w:pPr>
        <w:spacing w:after="0"/>
        <w:rPr>
          <w:b/>
          <w:bCs/>
        </w:rPr>
      </w:pPr>
    </w:p>
    <w:p w14:paraId="3FE79A97" w14:textId="77777777" w:rsidR="00C4253A" w:rsidRPr="00D75C5B" w:rsidRDefault="00C4253A" w:rsidP="00D257AB">
      <w:pPr>
        <w:spacing w:after="0"/>
        <w:rPr>
          <w:b/>
          <w:bCs/>
        </w:rPr>
      </w:pPr>
    </w:p>
    <w:p w14:paraId="69084446" w14:textId="56290B80" w:rsidR="005D537F" w:rsidRPr="00D75C5B" w:rsidRDefault="00D7259E" w:rsidP="00D257AB">
      <w:pPr>
        <w:spacing w:after="0"/>
      </w:pPr>
      <w:r w:rsidRPr="00D75C5B">
        <w:rPr>
          <w:b/>
          <w:bCs/>
        </w:rPr>
        <w:t>M</w:t>
      </w:r>
      <w:r w:rsidR="005D537F" w:rsidRPr="00D75C5B">
        <w:rPr>
          <w:b/>
          <w:bCs/>
        </w:rPr>
        <w:t>MBPIS: Indicator 10 (The percent of beneficiaries readmitted to an inpatient psychiatric unit within 30 days of discharge.)</w:t>
      </w:r>
      <w:r w:rsidR="00DD53CF" w:rsidRPr="00D75C5B">
        <w:rPr>
          <w:b/>
          <w:bCs/>
        </w:rPr>
        <w:t xml:space="preserve">: </w:t>
      </w:r>
      <w:r w:rsidR="009C0E33" w:rsidRPr="00D75C5B">
        <w:t>BABH met</w:t>
      </w:r>
      <w:r w:rsidR="00ED070F" w:rsidRPr="00D75C5B">
        <w:t xml:space="preserve"> the compliance rate for the </w:t>
      </w:r>
      <w:r w:rsidR="00C4253A" w:rsidRPr="00D75C5B">
        <w:t xml:space="preserve">adult and </w:t>
      </w:r>
      <w:r w:rsidR="00ED070F" w:rsidRPr="00D75C5B">
        <w:t>child population</w:t>
      </w:r>
      <w:r w:rsidR="003F760C" w:rsidRPr="00D75C5B">
        <w:t xml:space="preserve"> </w:t>
      </w:r>
      <w:r w:rsidR="00ED070F" w:rsidRPr="00D75C5B">
        <w:t xml:space="preserve">for </w:t>
      </w:r>
      <w:r w:rsidR="00341C77" w:rsidRPr="00D75C5B">
        <w:t>FY2</w:t>
      </w:r>
      <w:r w:rsidR="003F760C" w:rsidRPr="00D75C5B">
        <w:t>3Q</w:t>
      </w:r>
      <w:r w:rsidR="00C4253A" w:rsidRPr="00D75C5B">
        <w:t xml:space="preserve">3.  It was </w:t>
      </w:r>
      <w:r w:rsidR="003F760C" w:rsidRPr="00D75C5B">
        <w:t xml:space="preserve">determined that the level of care for </w:t>
      </w:r>
      <w:proofErr w:type="gramStart"/>
      <w:r w:rsidR="003F760C" w:rsidRPr="00D75C5B">
        <w:t>the adults</w:t>
      </w:r>
      <w:proofErr w:type="gramEnd"/>
      <w:r w:rsidR="003F760C" w:rsidRPr="00D75C5B">
        <w:t xml:space="preserve"> has been increasing as well as other external factors such as homelessness, substance use, involuntary petitions, and consumers new to BABH.</w:t>
      </w:r>
      <w:r w:rsidR="00BC49CB" w:rsidRPr="00D75C5B">
        <w:t xml:space="preserve">  </w:t>
      </w:r>
    </w:p>
    <w:p w14:paraId="33813CE5" w14:textId="77777777" w:rsidR="00D257AB" w:rsidRPr="00D75C5B" w:rsidRDefault="00D257AB" w:rsidP="00D257AB">
      <w:pPr>
        <w:spacing w:after="0"/>
      </w:pPr>
    </w:p>
    <w:p w14:paraId="3F4D6BCE" w14:textId="0E798A29" w:rsidR="00EB1648" w:rsidRPr="00D75C5B" w:rsidRDefault="00EB1648" w:rsidP="00D257AB">
      <w:pPr>
        <w:spacing w:after="0"/>
      </w:pPr>
      <w:r w:rsidRPr="00D75C5B">
        <w:rPr>
          <w:noProof/>
        </w:rPr>
        <w:drawing>
          <wp:inline distT="0" distB="0" distL="0" distR="0" wp14:anchorId="40575693" wp14:editId="3012F2D5">
            <wp:extent cx="6858000" cy="2712720"/>
            <wp:effectExtent l="0" t="0" r="0" b="0"/>
            <wp:docPr id="620265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712720"/>
                    </a:xfrm>
                    <a:prstGeom prst="rect">
                      <a:avLst/>
                    </a:prstGeom>
                    <a:noFill/>
                    <a:ln>
                      <a:noFill/>
                    </a:ln>
                  </pic:spPr>
                </pic:pic>
              </a:graphicData>
            </a:graphic>
          </wp:inline>
        </w:drawing>
      </w:r>
    </w:p>
    <w:p w14:paraId="44237646" w14:textId="77777777" w:rsidR="00EB1648" w:rsidRPr="00D75C5B" w:rsidRDefault="00EB1648" w:rsidP="00D257AB">
      <w:pPr>
        <w:spacing w:after="0"/>
      </w:pPr>
    </w:p>
    <w:p w14:paraId="2C3B7BEA" w14:textId="21F2ECDA" w:rsidR="007032DC" w:rsidRDefault="00C76559" w:rsidP="00C76559">
      <w:bookmarkStart w:id="0" w:name="_Hlk153181586"/>
      <w:r w:rsidRPr="00D75C5B">
        <w:rPr>
          <w:b/>
          <w:bCs/>
        </w:rPr>
        <w:t>Reduction of Inpatient Hospitalization Days for FY2</w:t>
      </w:r>
      <w:r w:rsidR="00F15C92" w:rsidRPr="00D75C5B">
        <w:rPr>
          <w:b/>
          <w:bCs/>
        </w:rPr>
        <w:t>3</w:t>
      </w:r>
      <w:r w:rsidRPr="00D75C5B">
        <w:rPr>
          <w:b/>
          <w:bCs/>
        </w:rPr>
        <w:t xml:space="preserve">: </w:t>
      </w:r>
      <w:r w:rsidR="00597BD1" w:rsidRPr="00D75C5B">
        <w:t>BABH had</w:t>
      </w:r>
      <w:r w:rsidR="00597BD1">
        <w:t xml:space="preserve"> </w:t>
      </w:r>
      <w:r w:rsidR="00F15C92">
        <w:t>6,115</w:t>
      </w:r>
      <w:r w:rsidR="00597BD1">
        <w:t xml:space="preserve"> inpatient hospitalization days during FY2</w:t>
      </w:r>
      <w:r w:rsidR="00F15C92">
        <w:t>2</w:t>
      </w:r>
      <w:r w:rsidR="00597BD1">
        <w:t xml:space="preserve"> and </w:t>
      </w:r>
      <w:r w:rsidR="00F15C92">
        <w:t>8,385</w:t>
      </w:r>
      <w:r w:rsidR="00597BD1">
        <w:t xml:space="preserve"> FY2</w:t>
      </w:r>
      <w:r w:rsidR="00F15C92">
        <w:t>3</w:t>
      </w:r>
      <w:r w:rsidR="00597BD1">
        <w:t>.  This was a</w:t>
      </w:r>
      <w:r w:rsidR="00F15C92">
        <w:t>n</w:t>
      </w:r>
      <w:r w:rsidR="00597BD1">
        <w:t xml:space="preserve"> </w:t>
      </w:r>
      <w:r w:rsidR="00F15C92">
        <w:t>increase</w:t>
      </w:r>
      <w:r w:rsidR="00597BD1">
        <w:t xml:space="preserve"> of </w:t>
      </w:r>
      <w:r w:rsidR="00F15C92">
        <w:t>2,270</w:t>
      </w:r>
      <w:r w:rsidR="00597BD1">
        <w:t xml:space="preserve"> inpatient hospitalization days during FY2</w:t>
      </w:r>
      <w:r w:rsidR="00F15C92">
        <w:t>3</w:t>
      </w:r>
      <w:r w:rsidR="00597BD1">
        <w:t xml:space="preserve"> which</w:t>
      </w:r>
      <w:r w:rsidR="00F15C92">
        <w:t xml:space="preserve"> did not</w:t>
      </w:r>
      <w:r w:rsidR="00597BD1">
        <w:t xml:space="preserve"> me</w:t>
      </w:r>
      <w:r w:rsidR="00F15C92">
        <w:t>e</w:t>
      </w:r>
      <w:r w:rsidR="00597BD1">
        <w:t>t the goal of an overall reduction.</w:t>
      </w:r>
      <w:r w:rsidR="00B25436">
        <w:t xml:space="preserve"> Further analysis determined that over the past couple of months consumers have been staying </w:t>
      </w:r>
      <w:r w:rsidR="00B25436">
        <w:lastRenderedPageBreak/>
        <w:t xml:space="preserve">significantly longer than the </w:t>
      </w:r>
      <w:proofErr w:type="gramStart"/>
      <w:r w:rsidR="00B25436">
        <w:t>5-7 day</w:t>
      </w:r>
      <w:proofErr w:type="gramEnd"/>
      <w:r w:rsidR="00B25436">
        <w:t xml:space="preserve"> average. The Emergency Access Service department is looking into specific individuals to determine other trends and factors.</w:t>
      </w:r>
    </w:p>
    <w:bookmarkEnd w:id="0"/>
    <w:p w14:paraId="70DC7AC8" w14:textId="690F1306" w:rsidR="007032DC" w:rsidRPr="007032DC" w:rsidRDefault="007032DC" w:rsidP="007032DC">
      <w:pPr>
        <w:jc w:val="center"/>
        <w:rPr>
          <w:b/>
          <w:bCs/>
          <w:sz w:val="28"/>
          <w:szCs w:val="28"/>
          <w:u w:val="single"/>
        </w:rPr>
      </w:pPr>
      <w:r>
        <w:rPr>
          <w:b/>
          <w:bCs/>
          <w:sz w:val="28"/>
          <w:szCs w:val="28"/>
          <w:u w:val="single"/>
        </w:rPr>
        <w:t>STAKEHOLDER PERCEPTIONS</w:t>
      </w:r>
    </w:p>
    <w:p w14:paraId="7F80E645" w14:textId="0259B2B6" w:rsidR="007032DC" w:rsidRDefault="007032DC" w:rsidP="00C76559">
      <w:r w:rsidRPr="000213E4">
        <w:rPr>
          <w:b/>
          <w:bCs/>
        </w:rPr>
        <w:t>Adults and Children Indicating Satisfaction on Survey:</w:t>
      </w:r>
      <w:r>
        <w:rPr>
          <w:b/>
          <w:bCs/>
        </w:rPr>
        <w:t xml:space="preserve"> </w:t>
      </w:r>
      <w:r>
        <w:rPr>
          <w:rFonts w:cstheme="minorHAnsi"/>
        </w:rPr>
        <w:t xml:space="preserve">During the FY22 satisfaction survey period, 91% of adults and 93% of children expressed </w:t>
      </w:r>
      <w:proofErr w:type="gramStart"/>
      <w:r>
        <w:rPr>
          <w:rFonts w:cstheme="minorHAnsi"/>
        </w:rPr>
        <w:t>a general</w:t>
      </w:r>
      <w:proofErr w:type="gramEnd"/>
      <w:r>
        <w:rPr>
          <w:rFonts w:cstheme="minorHAnsi"/>
        </w:rPr>
        <w:t xml:space="preserve"> satisfaction with services.  BABH had a goal of 80% </w:t>
      </w:r>
      <w:proofErr w:type="gramStart"/>
      <w:r>
        <w:rPr>
          <w:rFonts w:cstheme="minorHAnsi"/>
        </w:rPr>
        <w:t>satisfaction</w:t>
      </w:r>
      <w:proofErr w:type="gramEnd"/>
      <w:r>
        <w:rPr>
          <w:rFonts w:cstheme="minorHAnsi"/>
        </w:rPr>
        <w:t xml:space="preserve"> so this greatly surpassed the FY22 goal. </w:t>
      </w:r>
    </w:p>
    <w:p w14:paraId="1A6A5EC9" w14:textId="0A2B8FE5" w:rsidR="0027679D" w:rsidRDefault="00E42617" w:rsidP="00282C7A">
      <w:pPr>
        <w:rPr>
          <w:rFonts w:cstheme="minorHAnsi"/>
        </w:rPr>
      </w:pPr>
      <w:r w:rsidRPr="00D75C5B">
        <w:rPr>
          <w:rFonts w:cstheme="minorHAnsi"/>
          <w:b/>
          <w:bCs/>
        </w:rPr>
        <w:t>Provider Survey:</w:t>
      </w:r>
      <w:r w:rsidRPr="00D75C5B">
        <w:rPr>
          <w:rFonts w:cstheme="minorHAnsi"/>
        </w:rPr>
        <w:t xml:space="preserve"> All</w:t>
      </w:r>
      <w:r>
        <w:rPr>
          <w:rFonts w:cstheme="minorHAnsi"/>
        </w:rPr>
        <w:t xml:space="preserve"> the statements </w:t>
      </w:r>
      <w:r w:rsidR="00526957">
        <w:rPr>
          <w:rFonts w:cstheme="minorHAnsi"/>
        </w:rPr>
        <w:t xml:space="preserve">except one </w:t>
      </w:r>
      <w:r>
        <w:rPr>
          <w:rFonts w:cstheme="minorHAnsi"/>
        </w:rPr>
        <w:t>on the provider survey received over the 8</w:t>
      </w:r>
      <w:r w:rsidR="00526957">
        <w:rPr>
          <w:rFonts w:cstheme="minorHAnsi"/>
        </w:rPr>
        <w:t>5</w:t>
      </w:r>
      <w:r>
        <w:rPr>
          <w:rFonts w:cstheme="minorHAnsi"/>
        </w:rPr>
        <w:t xml:space="preserve">% standard.  </w:t>
      </w:r>
      <w:r w:rsidR="00526957">
        <w:t xml:space="preserve">Overall, scores have been decreasing since 2020.  Eight of the questions scored lower in 2023 compared to 2022. BABH leadership identified correction action steps to implement. </w:t>
      </w:r>
    </w:p>
    <w:p w14:paraId="29ECAD27" w14:textId="5D43031C" w:rsidR="00572BB3" w:rsidRDefault="00572BB3" w:rsidP="00282C7A">
      <w:pPr>
        <w:rPr>
          <w:rFonts w:cstheme="minorHAnsi"/>
        </w:rPr>
      </w:pPr>
      <w:r w:rsidRPr="0036599B">
        <w:rPr>
          <w:rFonts w:cstheme="minorHAnsi"/>
          <w:b/>
          <w:bCs/>
        </w:rPr>
        <w:t>Behavior Treatment Survey:</w:t>
      </w:r>
      <w:r>
        <w:rPr>
          <w:rFonts w:cstheme="minorHAnsi"/>
        </w:rPr>
        <w:t xml:space="preserve"> This survey</w:t>
      </w:r>
      <w:r w:rsidR="00CB14AF">
        <w:rPr>
          <w:rFonts w:cstheme="minorHAnsi"/>
        </w:rPr>
        <w:t xml:space="preserve"> report</w:t>
      </w:r>
      <w:r>
        <w:rPr>
          <w:rFonts w:cstheme="minorHAnsi"/>
        </w:rPr>
        <w:t xml:space="preserve"> is completed annually at the end of each calendar year.  The results from 202</w:t>
      </w:r>
      <w:r w:rsidR="00CB14AF">
        <w:rPr>
          <w:rFonts w:cstheme="minorHAnsi"/>
        </w:rPr>
        <w:t>2</w:t>
      </w:r>
      <w:r>
        <w:rPr>
          <w:rFonts w:cstheme="minorHAnsi"/>
        </w:rPr>
        <w:t xml:space="preserve"> showed a 100% satisfaction rate for the </w:t>
      </w:r>
      <w:r w:rsidR="00CB14AF">
        <w:rPr>
          <w:rFonts w:cstheme="minorHAnsi"/>
        </w:rPr>
        <w:t>seven</w:t>
      </w:r>
      <w:r>
        <w:rPr>
          <w:rFonts w:cstheme="minorHAnsi"/>
        </w:rPr>
        <w:t xml:space="preserve"> surveys returned.</w:t>
      </w:r>
      <w:r w:rsidR="00CB14AF">
        <w:rPr>
          <w:rFonts w:cstheme="minorHAnsi"/>
        </w:rPr>
        <w:t xml:space="preserve">  There was a process issue identified which resulted in surveys not being sent out consistently.  The Quality Manager will be sending out reminders and monitoring this during 2023.</w:t>
      </w:r>
    </w:p>
    <w:p w14:paraId="6C3BE274" w14:textId="77777777" w:rsidR="00103225" w:rsidRDefault="00103225" w:rsidP="00282C7A">
      <w:pPr>
        <w:rPr>
          <w:rFonts w:cstheme="minorHAnsi"/>
        </w:rPr>
      </w:pPr>
      <w:bookmarkStart w:id="1" w:name="_Hlk110523133"/>
    </w:p>
    <w:p w14:paraId="0015505C" w14:textId="231C27C4" w:rsidR="00306C71" w:rsidRPr="005478D5" w:rsidRDefault="00E01862" w:rsidP="00282C7A">
      <w:pPr>
        <w:rPr>
          <w:rFonts w:cstheme="minorHAnsi"/>
          <w:b/>
          <w:bCs/>
        </w:rPr>
      </w:pPr>
      <w:r>
        <w:rPr>
          <w:rFonts w:cstheme="minorHAnsi"/>
        </w:rPr>
        <w:t>Prepared by:  Sarah Holsinger, LMSW, CAADC – Quality Manager</w:t>
      </w:r>
      <w:r>
        <w:rPr>
          <w:rFonts w:cstheme="minorHAnsi"/>
        </w:rPr>
        <w:tab/>
      </w:r>
      <w:r>
        <w:rPr>
          <w:rFonts w:cstheme="minorHAnsi"/>
        </w:rPr>
        <w:tab/>
      </w:r>
      <w:r>
        <w:rPr>
          <w:rFonts w:cstheme="minorHAnsi"/>
        </w:rPr>
        <w:tab/>
        <w:t xml:space="preserve">Date:  </w:t>
      </w:r>
      <w:bookmarkEnd w:id="1"/>
      <w:r w:rsidR="00526957">
        <w:rPr>
          <w:rFonts w:cstheme="minorHAnsi"/>
        </w:rPr>
        <w:t>November</w:t>
      </w:r>
      <w:r w:rsidR="0036599B">
        <w:rPr>
          <w:rFonts w:cstheme="minorHAnsi"/>
        </w:rPr>
        <w:t xml:space="preserve"> </w:t>
      </w:r>
      <w:r w:rsidR="00526957">
        <w:rPr>
          <w:rFonts w:cstheme="minorHAnsi"/>
        </w:rPr>
        <w:t>2</w:t>
      </w:r>
      <w:r w:rsidR="00E254AF">
        <w:rPr>
          <w:rFonts w:cstheme="minorHAnsi"/>
        </w:rPr>
        <w:t>, 2023</w:t>
      </w:r>
    </w:p>
    <w:sectPr w:rsidR="00306C71" w:rsidRPr="005478D5" w:rsidSect="0091646E">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4E06" w14:textId="77777777" w:rsidR="006268D8" w:rsidRDefault="006268D8" w:rsidP="00BF6250">
      <w:pPr>
        <w:spacing w:after="0" w:line="240" w:lineRule="auto"/>
      </w:pPr>
      <w:r>
        <w:separator/>
      </w:r>
    </w:p>
  </w:endnote>
  <w:endnote w:type="continuationSeparator" w:id="0">
    <w:p w14:paraId="5E56E384" w14:textId="77777777" w:rsidR="006268D8" w:rsidRDefault="006268D8" w:rsidP="00BF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6089" w14:textId="77777777" w:rsidR="006268D8" w:rsidRDefault="006268D8" w:rsidP="00BF6250">
      <w:pPr>
        <w:spacing w:after="0" w:line="240" w:lineRule="auto"/>
      </w:pPr>
      <w:r>
        <w:separator/>
      </w:r>
    </w:p>
  </w:footnote>
  <w:footnote w:type="continuationSeparator" w:id="0">
    <w:p w14:paraId="5696BFA8" w14:textId="77777777" w:rsidR="006268D8" w:rsidRDefault="006268D8" w:rsidP="00BF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C6AF" w14:textId="3A63C329" w:rsidR="00981CE7" w:rsidRDefault="00F56C1D">
    <w:pPr>
      <w:pStyle w:val="Header"/>
      <w:rPr>
        <w:sz w:val="28"/>
        <w:szCs w:val="28"/>
      </w:rPr>
    </w:pPr>
    <w:r>
      <w:rPr>
        <w:noProof/>
      </w:rPr>
      <w:drawing>
        <wp:anchor distT="0" distB="0" distL="114300" distR="114300" simplePos="0" relativeHeight="251661312" behindDoc="1" locked="0" layoutInCell="1" allowOverlap="1" wp14:anchorId="096DC814" wp14:editId="630A7D8B">
          <wp:simplePos x="0" y="0"/>
          <wp:positionH relativeFrom="column">
            <wp:posOffset>0</wp:posOffset>
          </wp:positionH>
          <wp:positionV relativeFrom="paragraph">
            <wp:posOffset>0</wp:posOffset>
          </wp:positionV>
          <wp:extent cx="1449238" cy="760602"/>
          <wp:effectExtent l="0" t="0" r="0" b="1905"/>
          <wp:wrapTight wrapText="bothSides">
            <wp:wrapPolygon edited="0">
              <wp:start x="0" y="0"/>
              <wp:lineTo x="0" y="21113"/>
              <wp:lineTo x="21297" y="21113"/>
              <wp:lineTo x="21297" y="0"/>
              <wp:lineTo x="0" y="0"/>
            </wp:wrapPolygon>
          </wp:wrapTight>
          <wp:docPr id="1" name="Picture 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238" cy="760602"/>
                  </a:xfrm>
                  <a:prstGeom prst="rect">
                    <a:avLst/>
                  </a:prstGeom>
                </pic:spPr>
              </pic:pic>
            </a:graphicData>
          </a:graphic>
        </wp:anchor>
      </w:drawing>
    </w:r>
    <w:r w:rsidR="00981CE7" w:rsidRPr="0005649B">
      <w:rPr>
        <w:sz w:val="28"/>
        <w:szCs w:val="28"/>
      </w:rPr>
      <w:t xml:space="preserve">Quality Assessment </w:t>
    </w:r>
    <w:r>
      <w:rPr>
        <w:sz w:val="28"/>
        <w:szCs w:val="28"/>
      </w:rPr>
      <w:t>a</w:t>
    </w:r>
    <w:r w:rsidR="00981CE7" w:rsidRPr="0005649B">
      <w:rPr>
        <w:sz w:val="28"/>
        <w:szCs w:val="28"/>
      </w:rPr>
      <w:t>nd</w:t>
    </w:r>
    <w:r w:rsidR="00981CE7">
      <w:rPr>
        <w:sz w:val="28"/>
        <w:szCs w:val="28"/>
      </w:rPr>
      <w:t xml:space="preserve"> </w:t>
    </w:r>
    <w:r w:rsidR="00981CE7" w:rsidRPr="0005649B">
      <w:rPr>
        <w:sz w:val="28"/>
        <w:szCs w:val="28"/>
      </w:rPr>
      <w:t>Performance Improvement Pr</w:t>
    </w:r>
    <w:r>
      <w:rPr>
        <w:sz w:val="28"/>
        <w:szCs w:val="28"/>
      </w:rPr>
      <w:t>ogram (QAPIP)</w:t>
    </w:r>
  </w:p>
  <w:p w14:paraId="2915AAC2" w14:textId="7D0AAF61" w:rsidR="00F56C1D" w:rsidRDefault="00F56C1D">
    <w:pPr>
      <w:pStyle w:val="Header"/>
      <w:rPr>
        <w:sz w:val="28"/>
        <w:szCs w:val="28"/>
      </w:rPr>
    </w:pPr>
    <w:r>
      <w:rPr>
        <w:sz w:val="28"/>
        <w:szCs w:val="28"/>
      </w:rPr>
      <w:tab/>
      <w:t xml:space="preserve">                                </w:t>
    </w:r>
    <w:r w:rsidR="0091646E">
      <w:rPr>
        <w:sz w:val="28"/>
        <w:szCs w:val="28"/>
      </w:rPr>
      <w:t xml:space="preserve">                </w:t>
    </w:r>
    <w:r w:rsidR="006B3463">
      <w:rPr>
        <w:sz w:val="28"/>
        <w:szCs w:val="28"/>
      </w:rPr>
      <w:t>Quarterly</w:t>
    </w:r>
    <w:r w:rsidR="00BE477C">
      <w:rPr>
        <w:sz w:val="28"/>
        <w:szCs w:val="28"/>
      </w:rPr>
      <w:t xml:space="preserve"> and Annual</w:t>
    </w:r>
    <w:r w:rsidR="006B3463">
      <w:rPr>
        <w:sz w:val="28"/>
        <w:szCs w:val="28"/>
      </w:rPr>
      <w:t xml:space="preserve"> </w:t>
    </w:r>
    <w:r>
      <w:rPr>
        <w:sz w:val="28"/>
        <w:szCs w:val="28"/>
      </w:rPr>
      <w:t>Report</w:t>
    </w:r>
    <w:r w:rsidR="00760752">
      <w:rPr>
        <w:sz w:val="28"/>
        <w:szCs w:val="28"/>
      </w:rPr>
      <w:t xml:space="preserve"> </w:t>
    </w:r>
  </w:p>
  <w:p w14:paraId="08A311AD" w14:textId="77777777" w:rsidR="00981CE7" w:rsidRDefault="00981CE7">
    <w:pPr>
      <w:pStyle w:val="Header"/>
      <w:rPr>
        <w:sz w:val="28"/>
        <w:szCs w:val="28"/>
      </w:rPr>
    </w:pPr>
  </w:p>
  <w:p w14:paraId="34C919C1" w14:textId="77777777" w:rsidR="007A07C3" w:rsidRDefault="007A07C3">
    <w:pPr>
      <w:pStyle w:val="Header"/>
    </w:pPr>
  </w:p>
  <w:p w14:paraId="72E9D51D" w14:textId="54E01D19" w:rsidR="00981CE7" w:rsidRDefault="00981CE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FF2"/>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205C"/>
    <w:multiLevelType w:val="hybridMultilevel"/>
    <w:tmpl w:val="2F4E2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120D6"/>
    <w:multiLevelType w:val="hybridMultilevel"/>
    <w:tmpl w:val="8D884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401B0"/>
    <w:multiLevelType w:val="hybridMultilevel"/>
    <w:tmpl w:val="EE80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6588A"/>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94A32"/>
    <w:multiLevelType w:val="hybridMultilevel"/>
    <w:tmpl w:val="2FCE7F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4CD5384"/>
    <w:multiLevelType w:val="hybridMultilevel"/>
    <w:tmpl w:val="4B5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1DAF"/>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B6C48"/>
    <w:multiLevelType w:val="hybridMultilevel"/>
    <w:tmpl w:val="8D884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6473F"/>
    <w:multiLevelType w:val="hybridMultilevel"/>
    <w:tmpl w:val="8D884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B5A42"/>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4324F"/>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67FF0"/>
    <w:multiLevelType w:val="hybridMultilevel"/>
    <w:tmpl w:val="8D88420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36909CD"/>
    <w:multiLevelType w:val="hybridMultilevel"/>
    <w:tmpl w:val="8D884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739A9"/>
    <w:multiLevelType w:val="hybridMultilevel"/>
    <w:tmpl w:val="8D8842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75133"/>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A75E2"/>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029D"/>
    <w:multiLevelType w:val="hybridMultilevel"/>
    <w:tmpl w:val="8D88420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A4975"/>
    <w:multiLevelType w:val="hybridMultilevel"/>
    <w:tmpl w:val="8D884204"/>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32429170">
    <w:abstractNumId w:val="3"/>
  </w:num>
  <w:num w:numId="2" w16cid:durableId="1465925213">
    <w:abstractNumId w:val="0"/>
  </w:num>
  <w:num w:numId="3" w16cid:durableId="917055026">
    <w:abstractNumId w:val="2"/>
  </w:num>
  <w:num w:numId="4" w16cid:durableId="295305835">
    <w:abstractNumId w:val="14"/>
  </w:num>
  <w:num w:numId="5" w16cid:durableId="89668050">
    <w:abstractNumId w:val="8"/>
  </w:num>
  <w:num w:numId="6" w16cid:durableId="1665888416">
    <w:abstractNumId w:val="9"/>
  </w:num>
  <w:num w:numId="7" w16cid:durableId="1013605749">
    <w:abstractNumId w:val="18"/>
  </w:num>
  <w:num w:numId="8" w16cid:durableId="1828667892">
    <w:abstractNumId w:val="12"/>
  </w:num>
  <w:num w:numId="9" w16cid:durableId="63992549">
    <w:abstractNumId w:val="13"/>
  </w:num>
  <w:num w:numId="10" w16cid:durableId="284626941">
    <w:abstractNumId w:val="1"/>
  </w:num>
  <w:num w:numId="11" w16cid:durableId="228542890">
    <w:abstractNumId w:val="5"/>
  </w:num>
  <w:num w:numId="12" w16cid:durableId="447510487">
    <w:abstractNumId w:val="10"/>
  </w:num>
  <w:num w:numId="13" w16cid:durableId="1162353853">
    <w:abstractNumId w:val="17"/>
  </w:num>
  <w:num w:numId="14" w16cid:durableId="1366059824">
    <w:abstractNumId w:val="15"/>
  </w:num>
  <w:num w:numId="15" w16cid:durableId="1862356240">
    <w:abstractNumId w:val="11"/>
  </w:num>
  <w:num w:numId="16" w16cid:durableId="1271859161">
    <w:abstractNumId w:val="4"/>
  </w:num>
  <w:num w:numId="17" w16cid:durableId="1170675388">
    <w:abstractNumId w:val="16"/>
  </w:num>
  <w:num w:numId="18" w16cid:durableId="2046052159">
    <w:abstractNumId w:val="7"/>
  </w:num>
  <w:num w:numId="19" w16cid:durableId="5033194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80"/>
    <w:rsid w:val="000043BF"/>
    <w:rsid w:val="00020979"/>
    <w:rsid w:val="000213E4"/>
    <w:rsid w:val="000241CE"/>
    <w:rsid w:val="00027464"/>
    <w:rsid w:val="000301F8"/>
    <w:rsid w:val="00033195"/>
    <w:rsid w:val="00035137"/>
    <w:rsid w:val="000364F7"/>
    <w:rsid w:val="00036F9F"/>
    <w:rsid w:val="00041874"/>
    <w:rsid w:val="000418A9"/>
    <w:rsid w:val="0005006B"/>
    <w:rsid w:val="0005783F"/>
    <w:rsid w:val="00061615"/>
    <w:rsid w:val="00061D14"/>
    <w:rsid w:val="000761F5"/>
    <w:rsid w:val="00091B64"/>
    <w:rsid w:val="00094C25"/>
    <w:rsid w:val="000960DB"/>
    <w:rsid w:val="000A691A"/>
    <w:rsid w:val="000B1A88"/>
    <w:rsid w:val="000C22EA"/>
    <w:rsid w:val="000D24BE"/>
    <w:rsid w:val="000E0F4B"/>
    <w:rsid w:val="000E5D58"/>
    <w:rsid w:val="000F5042"/>
    <w:rsid w:val="000F6782"/>
    <w:rsid w:val="000F6BCF"/>
    <w:rsid w:val="00100889"/>
    <w:rsid w:val="00101A47"/>
    <w:rsid w:val="00103225"/>
    <w:rsid w:val="00105EBB"/>
    <w:rsid w:val="001143B2"/>
    <w:rsid w:val="0012165E"/>
    <w:rsid w:val="00127169"/>
    <w:rsid w:val="001329E6"/>
    <w:rsid w:val="00137171"/>
    <w:rsid w:val="00150A98"/>
    <w:rsid w:val="0015605F"/>
    <w:rsid w:val="00165C6A"/>
    <w:rsid w:val="0016603C"/>
    <w:rsid w:val="00166BF8"/>
    <w:rsid w:val="00182DA1"/>
    <w:rsid w:val="001873BB"/>
    <w:rsid w:val="00187C5B"/>
    <w:rsid w:val="00187EBE"/>
    <w:rsid w:val="001A2AEA"/>
    <w:rsid w:val="001B0F40"/>
    <w:rsid w:val="001B2D49"/>
    <w:rsid w:val="001B30CC"/>
    <w:rsid w:val="001B3B8C"/>
    <w:rsid w:val="001B5506"/>
    <w:rsid w:val="001B5FFD"/>
    <w:rsid w:val="001B6FDA"/>
    <w:rsid w:val="001C3D75"/>
    <w:rsid w:val="001F40A1"/>
    <w:rsid w:val="001F5EE8"/>
    <w:rsid w:val="0020580A"/>
    <w:rsid w:val="00211569"/>
    <w:rsid w:val="0021409F"/>
    <w:rsid w:val="00220F3E"/>
    <w:rsid w:val="00222E0D"/>
    <w:rsid w:val="00223DE3"/>
    <w:rsid w:val="002366ED"/>
    <w:rsid w:val="00237C1C"/>
    <w:rsid w:val="002463A0"/>
    <w:rsid w:val="00247D48"/>
    <w:rsid w:val="002523EB"/>
    <w:rsid w:val="00260901"/>
    <w:rsid w:val="0026165F"/>
    <w:rsid w:val="00265B59"/>
    <w:rsid w:val="00266651"/>
    <w:rsid w:val="0027679D"/>
    <w:rsid w:val="002821F4"/>
    <w:rsid w:val="00282C7A"/>
    <w:rsid w:val="002855A2"/>
    <w:rsid w:val="00290120"/>
    <w:rsid w:val="002A2443"/>
    <w:rsid w:val="002A342A"/>
    <w:rsid w:val="002A77A3"/>
    <w:rsid w:val="002B0EB6"/>
    <w:rsid w:val="002B175E"/>
    <w:rsid w:val="002B293F"/>
    <w:rsid w:val="002B3722"/>
    <w:rsid w:val="002B4EEA"/>
    <w:rsid w:val="002C31F4"/>
    <w:rsid w:val="002C3EA9"/>
    <w:rsid w:val="002C4476"/>
    <w:rsid w:val="002C48CD"/>
    <w:rsid w:val="002C6906"/>
    <w:rsid w:val="002C7A68"/>
    <w:rsid w:val="002D0B76"/>
    <w:rsid w:val="002D14E6"/>
    <w:rsid w:val="002D2513"/>
    <w:rsid w:val="002E0DC0"/>
    <w:rsid w:val="002E6EA4"/>
    <w:rsid w:val="002F1439"/>
    <w:rsid w:val="002F17BC"/>
    <w:rsid w:val="0030197B"/>
    <w:rsid w:val="00306C71"/>
    <w:rsid w:val="00307F2A"/>
    <w:rsid w:val="00310A2A"/>
    <w:rsid w:val="00330BA2"/>
    <w:rsid w:val="0033593D"/>
    <w:rsid w:val="003403A7"/>
    <w:rsid w:val="00341B0A"/>
    <w:rsid w:val="00341C77"/>
    <w:rsid w:val="00343A92"/>
    <w:rsid w:val="00351C07"/>
    <w:rsid w:val="00353E2E"/>
    <w:rsid w:val="0036599B"/>
    <w:rsid w:val="003737C1"/>
    <w:rsid w:val="003750E3"/>
    <w:rsid w:val="00375383"/>
    <w:rsid w:val="00377278"/>
    <w:rsid w:val="00381E8B"/>
    <w:rsid w:val="00382BE9"/>
    <w:rsid w:val="00387AD2"/>
    <w:rsid w:val="00387B07"/>
    <w:rsid w:val="00393C22"/>
    <w:rsid w:val="003A4ACB"/>
    <w:rsid w:val="003A5946"/>
    <w:rsid w:val="003B5C06"/>
    <w:rsid w:val="003B5F51"/>
    <w:rsid w:val="003C14BB"/>
    <w:rsid w:val="003C78C1"/>
    <w:rsid w:val="003C7AAD"/>
    <w:rsid w:val="003D195E"/>
    <w:rsid w:val="003D7EAE"/>
    <w:rsid w:val="003E3B3C"/>
    <w:rsid w:val="003F12C0"/>
    <w:rsid w:val="003F760C"/>
    <w:rsid w:val="004012C5"/>
    <w:rsid w:val="00405522"/>
    <w:rsid w:val="004079D1"/>
    <w:rsid w:val="00411579"/>
    <w:rsid w:val="0042221C"/>
    <w:rsid w:val="004236FF"/>
    <w:rsid w:val="00423CE9"/>
    <w:rsid w:val="00424073"/>
    <w:rsid w:val="00427768"/>
    <w:rsid w:val="00430853"/>
    <w:rsid w:val="00432639"/>
    <w:rsid w:val="0043529C"/>
    <w:rsid w:val="00446D49"/>
    <w:rsid w:val="0044779E"/>
    <w:rsid w:val="00453BA8"/>
    <w:rsid w:val="004555BF"/>
    <w:rsid w:val="00465038"/>
    <w:rsid w:val="0046752D"/>
    <w:rsid w:val="004720A7"/>
    <w:rsid w:val="00483EAE"/>
    <w:rsid w:val="004879B8"/>
    <w:rsid w:val="00496C97"/>
    <w:rsid w:val="004A4551"/>
    <w:rsid w:val="004A70E8"/>
    <w:rsid w:val="004A7DA9"/>
    <w:rsid w:val="004B503D"/>
    <w:rsid w:val="004B6D08"/>
    <w:rsid w:val="004D268B"/>
    <w:rsid w:val="004D3130"/>
    <w:rsid w:val="004D39B7"/>
    <w:rsid w:val="004D6B88"/>
    <w:rsid w:val="004D7B0A"/>
    <w:rsid w:val="004F48EE"/>
    <w:rsid w:val="004F5D9A"/>
    <w:rsid w:val="004F6FDE"/>
    <w:rsid w:val="004F7825"/>
    <w:rsid w:val="00500B94"/>
    <w:rsid w:val="00506F97"/>
    <w:rsid w:val="005071C0"/>
    <w:rsid w:val="0051153E"/>
    <w:rsid w:val="00513A93"/>
    <w:rsid w:val="005175DB"/>
    <w:rsid w:val="005249EF"/>
    <w:rsid w:val="00526194"/>
    <w:rsid w:val="00526957"/>
    <w:rsid w:val="00543ABD"/>
    <w:rsid w:val="00544E7B"/>
    <w:rsid w:val="005478D5"/>
    <w:rsid w:val="005616B7"/>
    <w:rsid w:val="00570215"/>
    <w:rsid w:val="00572BB3"/>
    <w:rsid w:val="00590525"/>
    <w:rsid w:val="005954CF"/>
    <w:rsid w:val="005966BF"/>
    <w:rsid w:val="00596E56"/>
    <w:rsid w:val="00597BD1"/>
    <w:rsid w:val="005A0793"/>
    <w:rsid w:val="005A3535"/>
    <w:rsid w:val="005A3E35"/>
    <w:rsid w:val="005B654F"/>
    <w:rsid w:val="005B6E8A"/>
    <w:rsid w:val="005B7F9E"/>
    <w:rsid w:val="005C39F2"/>
    <w:rsid w:val="005C7FB7"/>
    <w:rsid w:val="005D537F"/>
    <w:rsid w:val="005D542C"/>
    <w:rsid w:val="005D5D41"/>
    <w:rsid w:val="005E0AA3"/>
    <w:rsid w:val="00600FD4"/>
    <w:rsid w:val="006034A7"/>
    <w:rsid w:val="006100E3"/>
    <w:rsid w:val="0061050B"/>
    <w:rsid w:val="00616887"/>
    <w:rsid w:val="006206B0"/>
    <w:rsid w:val="00620B9C"/>
    <w:rsid w:val="00625757"/>
    <w:rsid w:val="006268D8"/>
    <w:rsid w:val="00626CFE"/>
    <w:rsid w:val="00633A05"/>
    <w:rsid w:val="00636B21"/>
    <w:rsid w:val="00641AE4"/>
    <w:rsid w:val="0064674F"/>
    <w:rsid w:val="006504A6"/>
    <w:rsid w:val="0065093C"/>
    <w:rsid w:val="00650DCE"/>
    <w:rsid w:val="00652A16"/>
    <w:rsid w:val="006569B3"/>
    <w:rsid w:val="00660519"/>
    <w:rsid w:val="00663422"/>
    <w:rsid w:val="006715B8"/>
    <w:rsid w:val="00675820"/>
    <w:rsid w:val="00676BB6"/>
    <w:rsid w:val="00680724"/>
    <w:rsid w:val="00680D8D"/>
    <w:rsid w:val="006B3463"/>
    <w:rsid w:val="006C165D"/>
    <w:rsid w:val="006D40B3"/>
    <w:rsid w:val="006D4525"/>
    <w:rsid w:val="006D4B8C"/>
    <w:rsid w:val="006D4DCF"/>
    <w:rsid w:val="006D5180"/>
    <w:rsid w:val="006E0B9B"/>
    <w:rsid w:val="006E6FFA"/>
    <w:rsid w:val="006E71B1"/>
    <w:rsid w:val="006F176D"/>
    <w:rsid w:val="006F5596"/>
    <w:rsid w:val="006F661E"/>
    <w:rsid w:val="00703188"/>
    <w:rsid w:val="007032DC"/>
    <w:rsid w:val="007039D1"/>
    <w:rsid w:val="00705697"/>
    <w:rsid w:val="00707450"/>
    <w:rsid w:val="00713B42"/>
    <w:rsid w:val="007143CB"/>
    <w:rsid w:val="00714483"/>
    <w:rsid w:val="00720E46"/>
    <w:rsid w:val="00722591"/>
    <w:rsid w:val="00723829"/>
    <w:rsid w:val="00733385"/>
    <w:rsid w:val="007430B5"/>
    <w:rsid w:val="0074580D"/>
    <w:rsid w:val="007507D2"/>
    <w:rsid w:val="0075228A"/>
    <w:rsid w:val="00753E50"/>
    <w:rsid w:val="00760752"/>
    <w:rsid w:val="00762AB5"/>
    <w:rsid w:val="00776A82"/>
    <w:rsid w:val="007805D3"/>
    <w:rsid w:val="00782FC8"/>
    <w:rsid w:val="00784DE3"/>
    <w:rsid w:val="00790DF7"/>
    <w:rsid w:val="00796F97"/>
    <w:rsid w:val="00797B64"/>
    <w:rsid w:val="007A07C3"/>
    <w:rsid w:val="007A1CC6"/>
    <w:rsid w:val="007A2BF4"/>
    <w:rsid w:val="007A2DE9"/>
    <w:rsid w:val="007A5E77"/>
    <w:rsid w:val="007A6D0C"/>
    <w:rsid w:val="007B17BB"/>
    <w:rsid w:val="007B3A1F"/>
    <w:rsid w:val="007C1A11"/>
    <w:rsid w:val="007C4598"/>
    <w:rsid w:val="007E4025"/>
    <w:rsid w:val="007F3E7D"/>
    <w:rsid w:val="007F40F5"/>
    <w:rsid w:val="007F4F80"/>
    <w:rsid w:val="00800FED"/>
    <w:rsid w:val="00801039"/>
    <w:rsid w:val="00801F8A"/>
    <w:rsid w:val="00802762"/>
    <w:rsid w:val="008048F6"/>
    <w:rsid w:val="00816065"/>
    <w:rsid w:val="00821D4A"/>
    <w:rsid w:val="00822E5B"/>
    <w:rsid w:val="00824B95"/>
    <w:rsid w:val="008404B4"/>
    <w:rsid w:val="00841B22"/>
    <w:rsid w:val="00852B48"/>
    <w:rsid w:val="0085698B"/>
    <w:rsid w:val="00856A0D"/>
    <w:rsid w:val="0086015C"/>
    <w:rsid w:val="00860495"/>
    <w:rsid w:val="00863C99"/>
    <w:rsid w:val="00867C4F"/>
    <w:rsid w:val="00871479"/>
    <w:rsid w:val="008721EB"/>
    <w:rsid w:val="00873424"/>
    <w:rsid w:val="00874081"/>
    <w:rsid w:val="00880824"/>
    <w:rsid w:val="00881C64"/>
    <w:rsid w:val="00881E1E"/>
    <w:rsid w:val="008874D2"/>
    <w:rsid w:val="00887808"/>
    <w:rsid w:val="00896A38"/>
    <w:rsid w:val="008A1262"/>
    <w:rsid w:val="008A1409"/>
    <w:rsid w:val="008C6881"/>
    <w:rsid w:val="008D2000"/>
    <w:rsid w:val="008D3326"/>
    <w:rsid w:val="008D5812"/>
    <w:rsid w:val="008D7E67"/>
    <w:rsid w:val="008E404B"/>
    <w:rsid w:val="008F2A60"/>
    <w:rsid w:val="008F589A"/>
    <w:rsid w:val="008F76D2"/>
    <w:rsid w:val="009143F3"/>
    <w:rsid w:val="0091646E"/>
    <w:rsid w:val="00917B2F"/>
    <w:rsid w:val="00921906"/>
    <w:rsid w:val="00922472"/>
    <w:rsid w:val="00923D1C"/>
    <w:rsid w:val="009241DE"/>
    <w:rsid w:val="00932C67"/>
    <w:rsid w:val="00934A62"/>
    <w:rsid w:val="009371F7"/>
    <w:rsid w:val="00937CBF"/>
    <w:rsid w:val="009404BD"/>
    <w:rsid w:val="009407FF"/>
    <w:rsid w:val="0094580C"/>
    <w:rsid w:val="00946383"/>
    <w:rsid w:val="00954F41"/>
    <w:rsid w:val="009665E6"/>
    <w:rsid w:val="00981CE7"/>
    <w:rsid w:val="009930B0"/>
    <w:rsid w:val="0099506C"/>
    <w:rsid w:val="009A2916"/>
    <w:rsid w:val="009B2582"/>
    <w:rsid w:val="009B74F1"/>
    <w:rsid w:val="009C0E33"/>
    <w:rsid w:val="009C256A"/>
    <w:rsid w:val="009C355F"/>
    <w:rsid w:val="009C4AA4"/>
    <w:rsid w:val="009C73C5"/>
    <w:rsid w:val="009D0BF6"/>
    <w:rsid w:val="009D3E06"/>
    <w:rsid w:val="009D46E6"/>
    <w:rsid w:val="009E4305"/>
    <w:rsid w:val="009E6EB4"/>
    <w:rsid w:val="00A00282"/>
    <w:rsid w:val="00A12F33"/>
    <w:rsid w:val="00A20220"/>
    <w:rsid w:val="00A2272E"/>
    <w:rsid w:val="00A415F1"/>
    <w:rsid w:val="00A460B0"/>
    <w:rsid w:val="00A532A3"/>
    <w:rsid w:val="00A53A53"/>
    <w:rsid w:val="00A63AC1"/>
    <w:rsid w:val="00A652BD"/>
    <w:rsid w:val="00A6612C"/>
    <w:rsid w:val="00A67722"/>
    <w:rsid w:val="00A72866"/>
    <w:rsid w:val="00A73DD4"/>
    <w:rsid w:val="00A7480C"/>
    <w:rsid w:val="00A773AB"/>
    <w:rsid w:val="00A814DD"/>
    <w:rsid w:val="00A836A5"/>
    <w:rsid w:val="00A90245"/>
    <w:rsid w:val="00A93378"/>
    <w:rsid w:val="00A95C05"/>
    <w:rsid w:val="00A960DC"/>
    <w:rsid w:val="00A969A8"/>
    <w:rsid w:val="00AA1FA9"/>
    <w:rsid w:val="00AA3D51"/>
    <w:rsid w:val="00AA6A7B"/>
    <w:rsid w:val="00AC5E85"/>
    <w:rsid w:val="00AD776E"/>
    <w:rsid w:val="00AE127B"/>
    <w:rsid w:val="00AE3395"/>
    <w:rsid w:val="00AF00A5"/>
    <w:rsid w:val="00AF443C"/>
    <w:rsid w:val="00B01F60"/>
    <w:rsid w:val="00B03624"/>
    <w:rsid w:val="00B17F46"/>
    <w:rsid w:val="00B22B74"/>
    <w:rsid w:val="00B24B0D"/>
    <w:rsid w:val="00B25436"/>
    <w:rsid w:val="00B26806"/>
    <w:rsid w:val="00B355A2"/>
    <w:rsid w:val="00B42C2A"/>
    <w:rsid w:val="00B4546A"/>
    <w:rsid w:val="00B5650B"/>
    <w:rsid w:val="00B60208"/>
    <w:rsid w:val="00B61A52"/>
    <w:rsid w:val="00B630AC"/>
    <w:rsid w:val="00B64BAB"/>
    <w:rsid w:val="00B66A93"/>
    <w:rsid w:val="00B734D3"/>
    <w:rsid w:val="00B74189"/>
    <w:rsid w:val="00B75E49"/>
    <w:rsid w:val="00B81172"/>
    <w:rsid w:val="00B972C3"/>
    <w:rsid w:val="00BA7998"/>
    <w:rsid w:val="00BB421B"/>
    <w:rsid w:val="00BC02D2"/>
    <w:rsid w:val="00BC18AC"/>
    <w:rsid w:val="00BC49CB"/>
    <w:rsid w:val="00BC57A2"/>
    <w:rsid w:val="00BD1128"/>
    <w:rsid w:val="00BD165E"/>
    <w:rsid w:val="00BD403A"/>
    <w:rsid w:val="00BE477C"/>
    <w:rsid w:val="00BE76B5"/>
    <w:rsid w:val="00BF1CB9"/>
    <w:rsid w:val="00BF1CC0"/>
    <w:rsid w:val="00BF31DD"/>
    <w:rsid w:val="00BF3D11"/>
    <w:rsid w:val="00BF6250"/>
    <w:rsid w:val="00C007F1"/>
    <w:rsid w:val="00C02845"/>
    <w:rsid w:val="00C05B08"/>
    <w:rsid w:val="00C22A56"/>
    <w:rsid w:val="00C23489"/>
    <w:rsid w:val="00C23539"/>
    <w:rsid w:val="00C317CC"/>
    <w:rsid w:val="00C417C7"/>
    <w:rsid w:val="00C4253A"/>
    <w:rsid w:val="00C50EB8"/>
    <w:rsid w:val="00C61E74"/>
    <w:rsid w:val="00C63F57"/>
    <w:rsid w:val="00C66034"/>
    <w:rsid w:val="00C73295"/>
    <w:rsid w:val="00C736B2"/>
    <w:rsid w:val="00C75AC4"/>
    <w:rsid w:val="00C76559"/>
    <w:rsid w:val="00C77244"/>
    <w:rsid w:val="00C86A8B"/>
    <w:rsid w:val="00C93E2E"/>
    <w:rsid w:val="00C94C49"/>
    <w:rsid w:val="00C9508B"/>
    <w:rsid w:val="00C971A9"/>
    <w:rsid w:val="00C97264"/>
    <w:rsid w:val="00C97457"/>
    <w:rsid w:val="00C97533"/>
    <w:rsid w:val="00CA2B19"/>
    <w:rsid w:val="00CA7EDB"/>
    <w:rsid w:val="00CB14AF"/>
    <w:rsid w:val="00CF211F"/>
    <w:rsid w:val="00CF315B"/>
    <w:rsid w:val="00CF3AAC"/>
    <w:rsid w:val="00D035F4"/>
    <w:rsid w:val="00D146D7"/>
    <w:rsid w:val="00D15BB2"/>
    <w:rsid w:val="00D15E30"/>
    <w:rsid w:val="00D23426"/>
    <w:rsid w:val="00D2423E"/>
    <w:rsid w:val="00D25658"/>
    <w:rsid w:val="00D257AB"/>
    <w:rsid w:val="00D34ECD"/>
    <w:rsid w:val="00D426D2"/>
    <w:rsid w:val="00D47078"/>
    <w:rsid w:val="00D50AA5"/>
    <w:rsid w:val="00D7259E"/>
    <w:rsid w:val="00D75C5B"/>
    <w:rsid w:val="00D760D0"/>
    <w:rsid w:val="00D7711B"/>
    <w:rsid w:val="00D863B7"/>
    <w:rsid w:val="00D86B09"/>
    <w:rsid w:val="00D87906"/>
    <w:rsid w:val="00DA3C4A"/>
    <w:rsid w:val="00DB052C"/>
    <w:rsid w:val="00DB4160"/>
    <w:rsid w:val="00DB7C60"/>
    <w:rsid w:val="00DC3377"/>
    <w:rsid w:val="00DC6C35"/>
    <w:rsid w:val="00DD4B60"/>
    <w:rsid w:val="00DD53CF"/>
    <w:rsid w:val="00DD56F7"/>
    <w:rsid w:val="00DD70A2"/>
    <w:rsid w:val="00DD7163"/>
    <w:rsid w:val="00DE52AA"/>
    <w:rsid w:val="00DE7631"/>
    <w:rsid w:val="00DF3C55"/>
    <w:rsid w:val="00E01862"/>
    <w:rsid w:val="00E229FA"/>
    <w:rsid w:val="00E254AF"/>
    <w:rsid w:val="00E3234E"/>
    <w:rsid w:val="00E42617"/>
    <w:rsid w:val="00E47CDC"/>
    <w:rsid w:val="00E52BE6"/>
    <w:rsid w:val="00E5308C"/>
    <w:rsid w:val="00E532A9"/>
    <w:rsid w:val="00E5429A"/>
    <w:rsid w:val="00E62886"/>
    <w:rsid w:val="00E75896"/>
    <w:rsid w:val="00E82712"/>
    <w:rsid w:val="00E84380"/>
    <w:rsid w:val="00E84A69"/>
    <w:rsid w:val="00E877CC"/>
    <w:rsid w:val="00EA0483"/>
    <w:rsid w:val="00EA05F9"/>
    <w:rsid w:val="00EA4831"/>
    <w:rsid w:val="00EB1648"/>
    <w:rsid w:val="00EB4EDF"/>
    <w:rsid w:val="00EB5AC2"/>
    <w:rsid w:val="00EC64E3"/>
    <w:rsid w:val="00ED070F"/>
    <w:rsid w:val="00ED1512"/>
    <w:rsid w:val="00ED64C1"/>
    <w:rsid w:val="00ED6FE5"/>
    <w:rsid w:val="00ED70EB"/>
    <w:rsid w:val="00EF4765"/>
    <w:rsid w:val="00F15C91"/>
    <w:rsid w:val="00F15C92"/>
    <w:rsid w:val="00F15EA3"/>
    <w:rsid w:val="00F220FA"/>
    <w:rsid w:val="00F255D2"/>
    <w:rsid w:val="00F268B9"/>
    <w:rsid w:val="00F3224F"/>
    <w:rsid w:val="00F33E24"/>
    <w:rsid w:val="00F35E7E"/>
    <w:rsid w:val="00F42926"/>
    <w:rsid w:val="00F43799"/>
    <w:rsid w:val="00F47AD3"/>
    <w:rsid w:val="00F56C1D"/>
    <w:rsid w:val="00F6080A"/>
    <w:rsid w:val="00F61E59"/>
    <w:rsid w:val="00F678A5"/>
    <w:rsid w:val="00F74880"/>
    <w:rsid w:val="00F81B66"/>
    <w:rsid w:val="00F93517"/>
    <w:rsid w:val="00F97AFC"/>
    <w:rsid w:val="00FA1E5E"/>
    <w:rsid w:val="00FA27BA"/>
    <w:rsid w:val="00FB3FE7"/>
    <w:rsid w:val="00FB44AC"/>
    <w:rsid w:val="00FD20A1"/>
    <w:rsid w:val="00FE5D73"/>
    <w:rsid w:val="00FF0F3A"/>
    <w:rsid w:val="00FF503D"/>
    <w:rsid w:val="00FF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D78D5"/>
  <w15:docId w15:val="{B9B4C1B5-2816-4626-B55A-A82FE863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20"/>
    <w:pPr>
      <w:ind w:left="720"/>
      <w:contextualSpacing/>
    </w:pPr>
  </w:style>
  <w:style w:type="table" w:styleId="TableGrid">
    <w:name w:val="Table Grid"/>
    <w:basedOn w:val="TableNormal"/>
    <w:uiPriority w:val="59"/>
    <w:rsid w:val="00091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50"/>
  </w:style>
  <w:style w:type="paragraph" w:styleId="Footer">
    <w:name w:val="footer"/>
    <w:basedOn w:val="Normal"/>
    <w:link w:val="FooterChar"/>
    <w:uiPriority w:val="99"/>
    <w:unhideWhenUsed/>
    <w:rsid w:val="00BF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50"/>
  </w:style>
  <w:style w:type="character" w:styleId="PlaceholderText">
    <w:name w:val="Placeholder Text"/>
    <w:basedOn w:val="DefaultParagraphFont"/>
    <w:uiPriority w:val="99"/>
    <w:semiHidden/>
    <w:rsid w:val="00932C67"/>
    <w:rPr>
      <w:color w:val="808080"/>
    </w:rPr>
  </w:style>
  <w:style w:type="paragraph" w:styleId="BalloonText">
    <w:name w:val="Balloon Text"/>
    <w:basedOn w:val="Normal"/>
    <w:link w:val="BalloonTextChar"/>
    <w:uiPriority w:val="99"/>
    <w:semiHidden/>
    <w:unhideWhenUsed/>
    <w:rsid w:val="003C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7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Bay Arenac BH</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dc:creator>
  <cp:lastModifiedBy>Sarah Holsinger</cp:lastModifiedBy>
  <cp:revision>31</cp:revision>
  <cp:lastPrinted>2013-07-24T18:51:00Z</cp:lastPrinted>
  <dcterms:created xsi:type="dcterms:W3CDTF">2023-10-30T15:39:00Z</dcterms:created>
  <dcterms:modified xsi:type="dcterms:W3CDTF">2024-01-24T19:07:00Z</dcterms:modified>
</cp:coreProperties>
</file>